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wmf" ContentType="image/x-wmf"/>
  <Override PartName="/word/media/image2.png" ContentType="image/png"/>
  <Override PartName="/word/media/image3.png" ContentType="image/png"/>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val="false"/>
        <w:bidi w:val="0"/>
        <w:spacing w:lineRule="auto" w:line="276" w:before="285" w:after="285"/>
        <w:contextualSpacing/>
        <w:jc w:val="center"/>
        <w:rPr>
          <w:rFonts w:ascii="Arial" w:hAnsi="Arial" w:eastAsia="Courier New" w:cs="Arial"/>
          <w:b/>
          <w:b/>
          <w:bCs/>
          <w:color w:val="000000"/>
          <w:kern w:val="2"/>
          <w:sz w:val="22"/>
          <w:szCs w:val="22"/>
          <w:lang w:val="pt-BR" w:eastAsia="zh-CN" w:bidi="ar-SA"/>
        </w:rPr>
      </w:pPr>
      <w:r>
        <w:rPr>
          <w:rFonts w:eastAsia="Courier New" w:cs="Arial" w:ascii="Arial" w:hAnsi="Arial"/>
          <w:b/>
          <w:bCs/>
          <w:color w:val="000000"/>
          <w:kern w:val="2"/>
          <w:sz w:val="22"/>
          <w:szCs w:val="22"/>
          <w:lang w:val="pt-BR" w:eastAsia="zh-CN" w:bidi="ar-SA"/>
        </w:rPr>
      </w:r>
    </w:p>
    <w:p>
      <w:pPr>
        <w:pStyle w:val="Normal"/>
        <w:widowControl w:val="false"/>
        <w:bidi w:val="0"/>
        <w:spacing w:lineRule="auto" w:line="276" w:before="285" w:after="285"/>
        <w:contextualSpacing/>
        <w:jc w:val="center"/>
        <w:rPr>
          <w:rFonts w:ascii="Arial" w:hAnsi="Arial" w:eastAsia="Courier New" w:cs="Arial"/>
          <w:b/>
          <w:b/>
          <w:bCs/>
          <w:color w:val="000000"/>
          <w:kern w:val="2"/>
          <w:sz w:val="22"/>
          <w:szCs w:val="22"/>
          <w:lang w:val="pt-BR" w:eastAsia="zh-CN" w:bidi="ar-SA"/>
        </w:rPr>
      </w:pPr>
      <w:r>
        <w:rPr>
          <w:rFonts w:eastAsia="Courier New" w:cs="Arial" w:ascii="Arial" w:hAnsi="Arial"/>
          <w:b/>
          <w:bCs/>
          <w:color w:val="000000"/>
          <w:kern w:val="2"/>
          <w:sz w:val="22"/>
          <w:szCs w:val="22"/>
          <w:lang w:val="pt-BR" w:eastAsia="zh-CN" w:bidi="ar-SA"/>
        </w:rPr>
        <w:t>FUNDO MUNICIPAL DE SAÚDE</w:t>
      </w:r>
    </w:p>
    <w:p>
      <w:pPr>
        <w:pStyle w:val="Normal"/>
        <w:widowControl w:val="false"/>
        <w:bidi w:val="0"/>
        <w:spacing w:lineRule="auto" w:line="276" w:before="57" w:after="57"/>
        <w:contextualSpacing/>
        <w:jc w:val="center"/>
        <w:rPr/>
      </w:pPr>
      <w:r>
        <w:rPr/>
      </w:r>
    </w:p>
    <w:p>
      <w:pPr>
        <w:pStyle w:val="Normal"/>
        <w:widowControl w:val="false"/>
        <w:bidi w:val="0"/>
        <w:spacing w:lineRule="auto" w:line="276" w:before="114" w:after="114"/>
        <w:contextualSpacing/>
        <w:jc w:val="center"/>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t>MINUTA DE ATA DE REGISTRO DE PREÇOS Nº _____/2026</w:t>
      </w:r>
    </w:p>
    <w:p>
      <w:pPr>
        <w:pStyle w:val="Normal"/>
        <w:widowControl w:val="false"/>
        <w:bidi w:val="0"/>
        <w:spacing w:lineRule="auto" w:line="276" w:before="285" w:after="285"/>
        <w:contextualSpacing/>
        <w:jc w:val="center"/>
        <w:rPr/>
      </w:pPr>
      <w:r>
        <w:rPr/>
      </w:r>
    </w:p>
    <w:p>
      <w:pPr>
        <w:pStyle w:val="Normal"/>
        <w:widowControl w:val="false"/>
        <w:bidi w:val="0"/>
        <w:spacing w:lineRule="auto" w:line="276" w:before="285" w:after="285"/>
        <w:contextualSpacing/>
        <w:jc w:val="center"/>
        <w:rPr>
          <w:rFonts w:ascii="Arial" w:hAnsi="Arial" w:eastAsia="Courier New" w:cs="Arial"/>
          <w:b/>
          <w:b/>
          <w:bCs/>
          <w:iCs/>
          <w:color w:val="000000"/>
          <w:kern w:val="2"/>
          <w:sz w:val="22"/>
          <w:szCs w:val="22"/>
          <w:lang w:val="pt-BR" w:eastAsia="zh-CN" w:bidi="ar-SA"/>
        </w:rPr>
      </w:pPr>
      <w:r>
        <w:rPr>
          <w:rFonts w:eastAsia="Courier New" w:cs="Arial" w:ascii="Arial" w:hAnsi="Arial"/>
          <w:b/>
          <w:bCs/>
          <w:iCs/>
          <w:color w:val="000000"/>
          <w:kern w:val="2"/>
          <w:sz w:val="22"/>
          <w:szCs w:val="22"/>
          <w:lang w:val="pt-BR" w:eastAsia="zh-CN" w:bidi="ar-SA"/>
        </w:rPr>
        <w:t>PREGÃO ELETRÔNICO PARA REGISTRO DE PREÇOS Nº 022/2026</w:t>
      </w:r>
    </w:p>
    <w:p>
      <w:pPr>
        <w:pStyle w:val="Normal"/>
        <w:widowControl w:val="false"/>
        <w:spacing w:lineRule="auto" w:line="276"/>
        <w:ind w:left="0" w:right="-30" w:hanging="0"/>
        <w:jc w:val="both"/>
        <w:rPr>
          <w:rFonts w:ascii="Arial" w:hAnsi="Arial" w:cs="Arial"/>
          <w:sz w:val="22"/>
          <w:szCs w:val="22"/>
        </w:rPr>
      </w:pPr>
      <w:r>
        <w:rPr>
          <w:rFonts w:cs="Arial" w:ascii="Arial" w:hAnsi="Arial"/>
          <w:sz w:val="22"/>
          <w:szCs w:val="22"/>
        </w:rPr>
      </w:r>
    </w:p>
    <w:p>
      <w:pPr>
        <w:pStyle w:val="Normal"/>
        <w:widowControl w:val="false"/>
        <w:spacing w:lineRule="auto" w:line="276"/>
        <w:ind w:left="0" w:right="-30" w:hanging="0"/>
        <w:jc w:val="both"/>
        <w:rPr>
          <w:rFonts w:ascii="Arial" w:hAnsi="Arial" w:cs="Arial"/>
          <w:sz w:val="22"/>
          <w:szCs w:val="22"/>
        </w:rPr>
      </w:pPr>
      <w:r>
        <w:rPr>
          <w:rFonts w:cs="Arial" w:ascii="Arial" w:hAnsi="Arial"/>
          <w:sz w:val="22"/>
          <w:szCs w:val="22"/>
        </w:rPr>
      </w:r>
    </w:p>
    <w:p>
      <w:pPr>
        <w:pStyle w:val="Normal"/>
        <w:widowControl w:val="false"/>
        <w:spacing w:lineRule="auto" w:line="276"/>
        <w:ind w:left="0" w:right="-30" w:hanging="0"/>
        <w:jc w:val="both"/>
        <w:rPr>
          <w:rFonts w:ascii="Arial" w:hAnsi="Arial" w:cs="Arial"/>
          <w:sz w:val="22"/>
          <w:szCs w:val="22"/>
        </w:rPr>
      </w:pPr>
      <w:r>
        <w:rPr>
          <w:rFonts w:cs="Arial" w:ascii="Arial" w:hAnsi="Arial"/>
          <w:sz w:val="22"/>
          <w:szCs w:val="22"/>
        </w:rPr>
      </w:r>
    </w:p>
    <w:p>
      <w:pPr>
        <w:pStyle w:val="Normal"/>
        <w:widowControl w:val="false"/>
        <w:tabs>
          <w:tab w:val="clear" w:pos="709"/>
          <w:tab w:val="center" w:pos="4779" w:leader="none"/>
          <w:tab w:val="right" w:pos="9198" w:leader="none"/>
        </w:tabs>
        <w:spacing w:lineRule="auto" w:line="360" w:before="120" w:after="120"/>
        <w:ind w:left="0" w:right="-28" w:firstLine="1418"/>
        <w:jc w:val="both"/>
        <w:rPr/>
      </w:pPr>
      <w:r>
        <w:rPr>
          <w:rFonts w:cs="Arial" w:ascii="Arial" w:hAnsi="Arial"/>
          <w:b/>
          <w:bCs/>
          <w:sz w:val="22"/>
          <w:szCs w:val="22"/>
        </w:rPr>
        <w:t>O MUNICÍPIO DE QUISSAMÃ</w:t>
      </w:r>
      <w:r>
        <w:rPr>
          <w:rFonts w:cs="Arial" w:ascii="Arial" w:hAnsi="Arial"/>
          <w:sz w:val="22"/>
          <w:szCs w:val="22"/>
        </w:rPr>
        <w:t xml:space="preserve"> </w:t>
      </w:r>
      <w:r>
        <w:rPr>
          <w:rFonts w:cs="Arial" w:ascii="Arial" w:hAnsi="Arial"/>
          <w:b/>
          <w:bCs/>
          <w:sz w:val="22"/>
          <w:szCs w:val="22"/>
        </w:rPr>
        <w:t>– FUNDO MUNICIPAL DE SAÚDE</w:t>
      </w:r>
      <w:r>
        <w:rPr>
          <w:rFonts w:cs="Arial" w:ascii="Arial" w:hAnsi="Arial"/>
          <w:sz w:val="22"/>
          <w:szCs w:val="22"/>
        </w:rPr>
        <w:t xml:space="preserve"> ,</w:t>
      </w:r>
      <w:r>
        <w:rPr>
          <w:rFonts w:eastAsia="Courier New" w:cs="Arial" w:ascii="Arial" w:hAnsi="Arial"/>
          <w:b w:val="false"/>
          <w:bCs w:val="false"/>
          <w:color w:val="000000"/>
          <w:kern w:val="2"/>
          <w:sz w:val="22"/>
          <w:szCs w:val="22"/>
          <w:shd w:fill="auto" w:val="clear"/>
          <w:lang w:val="pt-BR" w:eastAsia="zh-CN" w:bidi="ar-SA"/>
        </w:rPr>
        <w:t xml:space="preserve">pessoa jurídica de direito público, com sede – Prefeitura Municipal de Quissamã, situada à Rua Conde de Araruama, nº 425, Centro, Quissamã/RJ, CEP: 28.735-000,  inscrito no CNPJ sob o nº </w:t>
      </w:r>
      <w:r>
        <w:rPr>
          <w:rFonts w:eastAsia="Courier New" w:cs="Arial" w:ascii="Arial" w:hAnsi="Arial"/>
          <w:b w:val="false"/>
          <w:bCs w:val="false"/>
          <w:i w:val="false"/>
          <w:iCs w:val="false"/>
          <w:color w:val="000000"/>
          <w:kern w:val="2"/>
          <w:sz w:val="22"/>
          <w:szCs w:val="22"/>
          <w:shd w:fill="auto" w:val="clear"/>
          <w:lang w:val="pt-BR" w:eastAsia="zh-CN" w:bidi="ar-SA"/>
        </w:rPr>
        <w:t>11.892.333/0001-99</w:t>
      </w:r>
      <w:r>
        <w:rPr>
          <w:rFonts w:eastAsia="Courier New" w:cs="Arial" w:ascii="Arial" w:hAnsi="Arial"/>
          <w:b w:val="false"/>
          <w:bCs w:val="false"/>
          <w:color w:val="000000"/>
          <w:kern w:val="2"/>
          <w:sz w:val="22"/>
          <w:szCs w:val="22"/>
          <w:shd w:fill="auto" w:val="clear"/>
          <w:lang w:val="pt-BR" w:eastAsia="zh-CN" w:bidi="ar-SA"/>
        </w:rPr>
        <w:t xml:space="preserve">, </w:t>
      </w:r>
      <w:r>
        <w:rPr>
          <w:rFonts w:eastAsia="Courier New" w:cs="Arial" w:ascii="Arial" w:hAnsi="Arial"/>
          <w:b w:val="false"/>
          <w:bCs w:val="false"/>
          <w:i w:val="false"/>
          <w:iCs w:val="false"/>
          <w:color w:val="000000"/>
          <w:kern w:val="2"/>
          <w:sz w:val="22"/>
          <w:szCs w:val="22"/>
          <w:shd w:fill="auto" w:val="clear"/>
          <w:lang w:val="pt-BR" w:eastAsia="zh-CN" w:bidi="ar-SA"/>
        </w:rPr>
        <w:t>neste ato representado pela Gestora do Fundo Municipal de Saúde, Sra. Gilda de Queirós Tavares, nomeada pela Portaria nº 26.619/2025, de 10 de dezembro de 2025, publicada no D.O.Q</w:t>
      </w:r>
      <w:r>
        <w:rPr>
          <w:rFonts w:eastAsia="Courier New" w:cs="Arial" w:ascii="Arial" w:hAnsi="Arial"/>
          <w:b w:val="false"/>
          <w:bCs w:val="false"/>
          <w:i/>
          <w:iCs/>
          <w:color w:val="000000"/>
          <w:kern w:val="2"/>
          <w:sz w:val="22"/>
          <w:szCs w:val="22"/>
          <w:shd w:fill="auto" w:val="clear"/>
          <w:lang w:val="pt-BR" w:eastAsia="zh-CN" w:bidi="ar-SA"/>
        </w:rPr>
        <w:t>.</w:t>
      </w:r>
      <w:r>
        <w:rPr>
          <w:rFonts w:eastAsia="Courier New" w:cs="Arial" w:ascii="Arial" w:hAnsi="Arial"/>
          <w:b w:val="false"/>
          <w:bCs w:val="false"/>
          <w:i/>
          <w:iCs w:val="false"/>
          <w:color w:val="000000"/>
          <w:kern w:val="2"/>
          <w:sz w:val="22"/>
          <w:szCs w:val="22"/>
          <w:shd w:fill="auto" w:val="clear"/>
          <w:lang w:val="pt-BR" w:eastAsia="zh-CN" w:bidi="ar-SA"/>
        </w:rPr>
        <w:t xml:space="preserve"> </w:t>
      </w:r>
      <w:r>
        <w:rPr>
          <w:rFonts w:eastAsia="Courier New" w:cs="Arial" w:ascii="Arial" w:hAnsi="Arial"/>
          <w:b w:val="false"/>
          <w:bCs w:val="false"/>
          <w:i w:val="false"/>
          <w:iCs w:val="false"/>
          <w:color w:val="000000"/>
          <w:kern w:val="2"/>
          <w:sz w:val="22"/>
          <w:szCs w:val="22"/>
          <w:shd w:fill="auto" w:val="clear"/>
          <w:lang w:val="pt-BR" w:eastAsia="zh-CN" w:bidi="ar-SA"/>
        </w:rPr>
        <w:t>de 12 de dezembro de 2025, portadora da Matrícula Funcional nº 9564, e pelo C</w:t>
      </w:r>
      <w:r>
        <w:rPr>
          <w:rFonts w:eastAsia="Tahoma" w:cs="Arial" w:ascii="Arial" w:hAnsi="Arial"/>
          <w:b w:val="false"/>
          <w:bCs w:val="false"/>
          <w:i w:val="false"/>
          <w:iCs w:val="false"/>
          <w:color w:val="000000"/>
          <w:kern w:val="2"/>
          <w:sz w:val="22"/>
          <w:szCs w:val="22"/>
          <w:shd w:fill="auto" w:val="clear"/>
          <w:lang w:val="pt-BR" w:eastAsia="zh-CN" w:bidi="ar-SA"/>
        </w:rPr>
        <w:t>hefe de Gabinete do Prefeito, Sr. Márcio Fernandes da Silva , nomeado pela Portaria nº 25.291/2025, de 02 de janeiro de 2025, publicada no D.O.Q. de 02 de janeiro de 2025, portador da Matrícula Funcional nº 9033-6</w:t>
      </w:r>
      <w:r>
        <w:rPr>
          <w:rFonts w:eastAsia="Tahoma" w:cs="Arial" w:ascii="Arial" w:hAnsi="Arial"/>
          <w:b w:val="false"/>
          <w:bCs w:val="false"/>
          <w:i w:val="false"/>
          <w:iCs w:val="false"/>
          <w:color w:val="000000"/>
          <w:kern w:val="2"/>
          <w:sz w:val="22"/>
          <w:szCs w:val="22"/>
          <w:u w:val="none"/>
          <w:shd w:fill="auto" w:val="clear"/>
          <w:lang w:val="pt-BR" w:eastAsia="zh-CN" w:bidi="ar-SA"/>
        </w:rPr>
        <w:t xml:space="preserve"> </w:t>
      </w:r>
      <w:r>
        <w:rPr>
          <w:rFonts w:eastAsia="Courier New" w:cs="Arial" w:ascii="Arial" w:hAnsi="Arial"/>
          <w:b w:val="false"/>
          <w:bCs w:val="false"/>
          <w:i w:val="false"/>
          <w:iCs w:val="false"/>
          <w:color w:val="auto"/>
          <w:kern w:val="2"/>
          <w:sz w:val="22"/>
          <w:szCs w:val="22"/>
          <w:u w:val="none"/>
          <w:lang w:val="pt-BR" w:eastAsia="zh-CN" w:bidi="ar-SA"/>
        </w:rPr>
        <w:t>doravante denominado ADJUDICANTE</w:t>
      </w:r>
      <w:r>
        <w:rPr>
          <w:rFonts w:cs="Arial" w:ascii="Arial" w:hAnsi="Arial"/>
          <w:color w:val="auto"/>
          <w:sz w:val="22"/>
          <w:szCs w:val="22"/>
        </w:rPr>
        <w:t xml:space="preserve">, e a empresa ___________________________________________________ inscrito(a) no CNPJ/MF sob o nº _____________________, sediado(a) na _________________________________, em ______________________ doravante designado </w:t>
      </w:r>
      <w:r>
        <w:rPr>
          <w:rStyle w:val="Fontepargpadro3"/>
          <w:rFonts w:eastAsia="Arial" w:cs="Arial" w:ascii="Arial" w:hAnsi="Arial"/>
          <w:color w:val="auto"/>
          <w:sz w:val="22"/>
          <w:szCs w:val="22"/>
          <w:lang w:eastAsia="zxx"/>
        </w:rPr>
        <w:t>ADJUDICATÁRIA</w:t>
      </w:r>
      <w:r>
        <w:rPr>
          <w:rFonts w:cs="Arial" w:ascii="Arial" w:hAnsi="Arial"/>
          <w:color w:val="auto"/>
          <w:sz w:val="22"/>
          <w:szCs w:val="22"/>
        </w:rPr>
        <w:t xml:space="preserve">, neste ato representada por ________________________________________ função _______________________________, </w:t>
      </w:r>
      <w:r>
        <w:rPr>
          <w:rFonts w:eastAsia="Courier New" w:cs="Arial" w:ascii="Arial" w:hAnsi="Arial"/>
          <w:color w:val="000000"/>
          <w:kern w:val="2"/>
          <w:sz w:val="22"/>
          <w:szCs w:val="22"/>
          <w:lang w:val="pt-BR" w:eastAsia="zh-CN" w:bidi="ar-SA"/>
        </w:rPr>
        <w:t>portador da Carteira de Identidade RG nº_____________________ e CPF/MF sob o n.º________________</w:t>
      </w:r>
      <w:r>
        <w:rPr>
          <w:rFonts w:eastAsia="Courier New" w:cs="Arial" w:ascii="Arial" w:hAnsi="Arial"/>
          <w:color w:val="000000"/>
          <w:kern w:val="2"/>
          <w:sz w:val="22"/>
          <w:szCs w:val="22"/>
          <w:shd w:fill="auto" w:val="clear"/>
          <w:lang w:val="pt-BR" w:eastAsia="zh-CN" w:bidi="ar-SA"/>
        </w:rPr>
        <w:t>_____</w:t>
      </w:r>
      <w:r>
        <w:rPr>
          <w:rFonts w:cs="Arial" w:ascii="Arial" w:hAnsi="Arial"/>
          <w:color w:val="auto"/>
          <w:sz w:val="22"/>
          <w:szCs w:val="22"/>
        </w:rPr>
        <w:t xml:space="preserve">, </w:t>
      </w:r>
      <w:r>
        <w:rPr>
          <w:rFonts w:cs="Arial" w:ascii="Arial" w:hAnsi="Arial"/>
          <w:sz w:val="22"/>
          <w:szCs w:val="22"/>
        </w:rPr>
        <w:t xml:space="preserve"> considerando o julgamento da licitação na modalidade de Pregão Eletrônico para REGISTRO DE PREÇOS nº 022/2026, publicada no _____ de ____/____/2026, processo administrativo n.º 13830/2025, requisição de contratação nº 335/2025, RESOLVE registrar os preços da(s) empresa(s) indicada(s) e qualificada(s) nesta ATA, de acordo com a classificação por ela(s) alcançada(s) e na(s)  quantidade(s)  cotada(s), atendendo as condições previstas no</w:t>
      </w:r>
      <w:r>
        <w:rPr>
          <w:rFonts w:cs="Arial" w:ascii="Arial" w:hAnsi="Arial"/>
          <w:color w:val="auto"/>
          <w:sz w:val="22"/>
          <w:szCs w:val="22"/>
        </w:rPr>
        <w:t xml:space="preserve"> Edital de licitação</w:t>
      </w:r>
      <w:r>
        <w:rPr>
          <w:rFonts w:cs="Arial" w:ascii="Arial" w:hAnsi="Arial"/>
          <w:sz w:val="22"/>
          <w:szCs w:val="22"/>
        </w:rPr>
        <w:t>, sujeitando-se as partes às normas constantes na Lei nº 14.133, de 1º de abril de 2021, com aplicação subsidiária, no que couber, dos Decretos Municipais nº 3841/2024; 3842/2024; 3845/2024; 4248/2025 e suas alterações, da Lei Complementar Federal nº 123/2006 - Estatuto Nacional da Microempresa e da Empresa de Pequeno Porte, e demais normas que compõem a legislação aplicável à licitações e contratações públicas</w:t>
      </w:r>
      <w:r>
        <w:rPr>
          <w:rFonts w:cs="Arial" w:ascii="Arial" w:hAnsi="Arial"/>
          <w:sz w:val="22"/>
          <w:szCs w:val="22"/>
          <w:shd w:fill="auto" w:val="clear"/>
        </w:rPr>
        <w:t xml:space="preserve">., </w:t>
      </w:r>
      <w:r>
        <w:rPr>
          <w:rFonts w:cs="Arial" w:ascii="Arial" w:hAnsi="Arial"/>
          <w:sz w:val="22"/>
          <w:szCs w:val="22"/>
        </w:rPr>
        <w:t>e em conformidade com as disposições a seguir:</w:t>
      </w:r>
    </w:p>
    <w:p>
      <w:pPr>
        <w:pStyle w:val="Normal"/>
        <w:widowControl w:val="false"/>
        <w:tabs>
          <w:tab w:val="clear" w:pos="709"/>
          <w:tab w:val="center" w:pos="4779" w:leader="none"/>
          <w:tab w:val="right" w:pos="9198" w:leader="none"/>
        </w:tabs>
        <w:spacing w:lineRule="auto" w:line="240" w:before="120" w:after="120"/>
        <w:ind w:left="0" w:right="-28" w:hanging="0"/>
        <w:jc w:val="both"/>
        <w:rPr>
          <w:rFonts w:ascii="Arial" w:hAnsi="Arial" w:cs="Arial"/>
          <w:sz w:val="22"/>
          <w:szCs w:val="22"/>
        </w:rPr>
      </w:pPr>
      <w:r>
        <w:rPr>
          <w:rFonts w:cs="Arial" w:ascii="Arial" w:hAnsi="Arial"/>
          <w:sz w:val="22"/>
          <w:szCs w:val="22"/>
        </w:rPr>
      </w:r>
    </w:p>
    <w:p>
      <w:pPr>
        <w:pStyle w:val="Normal"/>
        <w:widowControl w:val="false"/>
        <w:tabs>
          <w:tab w:val="clear" w:pos="709"/>
          <w:tab w:val="center" w:pos="4779" w:leader="none"/>
          <w:tab w:val="right" w:pos="9198" w:leader="none"/>
        </w:tabs>
        <w:spacing w:lineRule="auto" w:line="240" w:before="120" w:after="120"/>
        <w:ind w:left="0" w:right="-28" w:hanging="0"/>
        <w:jc w:val="both"/>
        <w:rPr>
          <w:rFonts w:ascii="Arial" w:hAnsi="Arial" w:cs="Arial"/>
          <w:sz w:val="22"/>
          <w:szCs w:val="22"/>
        </w:rPr>
      </w:pPr>
      <w:r>
        <w:rPr>
          <w:rFonts w:cs="Arial" w:ascii="Arial" w:hAnsi="Arial"/>
          <w:sz w:val="22"/>
          <w:szCs w:val="22"/>
        </w:rPr>
      </w:r>
    </w:p>
    <w:p>
      <w:pPr>
        <w:pStyle w:val="Nivel01"/>
        <w:spacing w:lineRule="auto" w:line="360" w:before="0" w:after="0"/>
        <w:ind w:left="0" w:right="0" w:hanging="0"/>
        <w:rPr>
          <w:sz w:val="22"/>
          <w:szCs w:val="22"/>
        </w:rPr>
      </w:pPr>
      <w:r>
        <w:rPr>
          <w:sz w:val="22"/>
          <w:szCs w:val="22"/>
        </w:rPr>
        <w:t>1. DO OBJETO</w:t>
      </w:r>
    </w:p>
    <w:p>
      <w:pPr>
        <w:pStyle w:val="Nivel01"/>
        <w:spacing w:lineRule="auto" w:line="360" w:before="0" w:after="0"/>
        <w:ind w:left="0" w:right="0" w:hanging="0"/>
        <w:rPr>
          <w:sz w:val="22"/>
          <w:szCs w:val="22"/>
        </w:rPr>
      </w:pPr>
      <w:r>
        <w:rPr>
          <w:sz w:val="22"/>
          <w:szCs w:val="22"/>
        </w:rPr>
      </w:r>
    </w:p>
    <w:p>
      <w:pPr>
        <w:pStyle w:val="Nivel01"/>
        <w:spacing w:lineRule="auto" w:line="360" w:before="0" w:after="0"/>
        <w:ind w:left="0" w:right="0" w:hanging="0"/>
        <w:rPr/>
      </w:pPr>
      <w:r>
        <w:rPr>
          <w:b w:val="false"/>
          <w:bCs w:val="false"/>
          <w:sz w:val="22"/>
          <w:szCs w:val="22"/>
        </w:rPr>
        <w:t>1.1 A presente Ata tem por</w:t>
      </w:r>
      <w:r>
        <w:rPr>
          <w:rStyle w:val="Fontepargpadro2"/>
          <w:rFonts w:eastAsia="Arial" w:cs="Arial"/>
          <w:b w:val="false"/>
          <w:bCs w:val="false"/>
          <w:color w:val="000000"/>
          <w:spacing w:val="-2"/>
          <w:kern w:val="2"/>
          <w:sz w:val="22"/>
          <w:szCs w:val="22"/>
          <w:lang w:eastAsia="zxx"/>
        </w:rPr>
        <w:t xml:space="preserve"> objeto Registro de Preços para realização de Exames de Ecocardiograma Fetal e Infantil, destinados aos pacientes atendidos pela Rede Municipal da Saúde do Município de Quissamã – RJ</w:t>
      </w:r>
      <w:r>
        <w:rPr>
          <w:rFonts w:cs="Arial"/>
          <w:b w:val="false"/>
          <w:bCs w:val="false"/>
          <w:sz w:val="22"/>
          <w:szCs w:val="22"/>
        </w:rPr>
        <w:t xml:space="preserve">, conforme condições, quantidades e especificações contidas no </w:t>
      </w:r>
      <w:r>
        <w:rPr>
          <w:b w:val="false"/>
          <w:bCs w:val="false"/>
          <w:sz w:val="22"/>
          <w:szCs w:val="22"/>
        </w:rPr>
        <w:t xml:space="preserve">Termo de Referência, anexo </w:t>
      </w:r>
      <w:r>
        <w:rPr>
          <w:b w:val="false"/>
          <w:bCs w:val="false"/>
          <w:i w:val="false"/>
          <w:iCs w:val="false"/>
          <w:color w:val="auto"/>
          <w:sz w:val="22"/>
          <w:szCs w:val="22"/>
        </w:rPr>
        <w:t>I do edital de Licitação – Pregão Eletrônico para Registro de Preços nº 022/2026, que é</w:t>
      </w:r>
      <w:r>
        <w:rPr>
          <w:b w:val="false"/>
          <w:bCs w:val="false"/>
          <w:sz w:val="22"/>
          <w:szCs w:val="22"/>
        </w:rPr>
        <w:t xml:space="preserve"> parte integrante desta Ata, assim como as propostas cujos preços tenham sido registrados, independentemente de transcrição.</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b/>
          <w:b/>
          <w:bCs/>
          <w:sz w:val="22"/>
          <w:szCs w:val="22"/>
        </w:rPr>
      </w:pPr>
      <w:r>
        <w:rPr>
          <w:b/>
          <w:bCs/>
          <w:sz w:val="22"/>
          <w:szCs w:val="22"/>
        </w:rPr>
        <w:t>2. DOS PREÇOS, PAGAMENTO, REAJUSTE, ESPECIFICAÇÕES E QUANTITATIVOS</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pPr>
      <w:r>
        <w:rPr>
          <w:b w:val="false"/>
          <w:bCs w:val="false"/>
          <w:sz w:val="22"/>
          <w:szCs w:val="22"/>
        </w:rPr>
        <w:t xml:space="preserve">2.1. O preço registrado, as especificações do objeto, as quantidades mínimas e máximas de cada item, fornecedor(es) e as demais condições ofertadas na(s) proposta(s) estão especificadas </w:t>
      </w:r>
      <w:r>
        <w:rPr>
          <w:rFonts w:cs="Arial"/>
          <w:b w:val="false"/>
          <w:bCs w:val="false"/>
          <w:sz w:val="22"/>
          <w:szCs w:val="22"/>
        </w:rPr>
        <w:t>na Planilha de Lances desta Ata.</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rFonts w:cs="Arial"/>
          <w:b w:val="false"/>
          <w:b w:val="false"/>
          <w:bCs w:val="false"/>
          <w:sz w:val="22"/>
          <w:szCs w:val="22"/>
        </w:rPr>
      </w:pPr>
      <w:r>
        <w:rPr>
          <w:rFonts w:cs="Arial"/>
          <w:b w:val="false"/>
          <w:bCs w:val="false"/>
          <w:sz w:val="22"/>
          <w:szCs w:val="22"/>
        </w:rPr>
        <w:t>2.1.1. Nos preços registrados estão incluídos todos os custos com material de consumo, salários, encargos sociais, previdenciários e trabalhistas de todo o pessoal da Adjudicatária, como também fardamento, transporte de qualquer natureza, materiais empregados, inclusive ferramentas, utensílios e equipamentos utilizados, depreciação, aluguéis, administração, impostos, taxas, emolumentos e quaisquer outros custos que, direta ou indiretamente, se relacionem com o fiel cumprimento pela Adjudicatária das obrigações.</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pPr>
      <w:r>
        <w:rPr>
          <w:rFonts w:eastAsia="Tahoma" w:cs="Arial"/>
          <w:b w:val="false"/>
          <w:bCs w:val="false"/>
          <w:color w:val="000000"/>
          <w:kern w:val="2"/>
          <w:sz w:val="22"/>
          <w:szCs w:val="22"/>
          <w:lang w:val="pt-BR" w:eastAsia="zh-CN" w:bidi="ar-SA"/>
        </w:rPr>
        <w:t>2.1.2. O preço de R$ _____ (__________________</w:t>
      </w:r>
      <w:r>
        <w:rPr>
          <w:rFonts w:eastAsia="Tahoma" w:cs="Arial"/>
          <w:b w:val="false"/>
          <w:bCs w:val="false"/>
          <w:color w:val="000000"/>
          <w:kern w:val="2"/>
          <w:sz w:val="22"/>
          <w:szCs w:val="22"/>
          <w:shd w:fill="auto" w:val="clear"/>
          <w:lang w:val="pt-BR" w:eastAsia="zh-CN" w:bidi="ar-SA"/>
        </w:rPr>
        <w:t xml:space="preserve">) será pago </w:t>
      </w:r>
      <w:r>
        <w:rPr>
          <w:rFonts w:eastAsia="Courier New" w:cs="Arial"/>
          <w:b w:val="false"/>
          <w:bCs w:val="false"/>
          <w:i w:val="false"/>
          <w:iCs w:val="false"/>
          <w:color w:val="000000"/>
          <w:kern w:val="2"/>
          <w:sz w:val="22"/>
          <w:szCs w:val="22"/>
          <w:shd w:fill="auto" w:val="clear"/>
          <w:lang w:val="pt-BR" w:eastAsia="zh-CN" w:bidi="ar-SA"/>
        </w:rPr>
        <w:t>mediante entrega realizada e conferida, quanto aos locais de execução, à qualidade dos materiais, à base dos preços unitários do item apresentado na proposta final</w:t>
      </w:r>
      <w:r>
        <w:rPr>
          <w:rFonts w:eastAsia="Courier New" w:cs="Arial"/>
          <w:b w:val="false"/>
          <w:bCs w:val="false"/>
          <w:color w:val="000000"/>
          <w:kern w:val="2"/>
          <w:sz w:val="22"/>
          <w:szCs w:val="22"/>
          <w:lang w:val="pt-BR" w:eastAsia="zh-CN" w:bidi="ar-SA"/>
        </w:rPr>
        <w:t>, e mediante a apresentação da Nota Fiscal, informando a modalidade e número da licitação, número do empenho e dados bancários, acompanhados das seguintes provas de regularidade fiscal:</w:t>
      </w:r>
    </w:p>
    <w:p>
      <w:pPr>
        <w:pStyle w:val="Nivel01"/>
        <w:spacing w:lineRule="auto" w:line="360" w:before="0" w:after="0"/>
        <w:ind w:left="0" w:right="0" w:hanging="0"/>
        <w:rPr>
          <w:b w:val="false"/>
          <w:b w:val="false"/>
          <w:bCs w:val="false"/>
        </w:rPr>
      </w:pPr>
      <w:r>
        <w:rPr>
          <w:b w:val="false"/>
          <w:bCs w:val="false"/>
        </w:rPr>
      </w:r>
    </w:p>
    <w:p>
      <w:pPr>
        <w:pStyle w:val="Nivel01"/>
        <w:spacing w:lineRule="auto" w:line="276" w:before="0" w:after="0"/>
        <w:ind w:left="0" w:right="0" w:hanging="0"/>
        <w:rPr/>
      </w:pPr>
      <w:r>
        <w:rPr>
          <w:rStyle w:val="Fontepargpadro2"/>
          <w:rFonts w:eastAsia="Comic Sans MS" w:cs="Arial"/>
          <w:b w:val="false"/>
          <w:bCs w:val="false"/>
          <w:color w:val="000000"/>
          <w:kern w:val="2"/>
          <w:sz w:val="22"/>
          <w:szCs w:val="22"/>
          <w:lang w:eastAsia="zxx"/>
        </w:rPr>
        <w:t>a) Prova de regularidade relativa a débitos federais;</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b) Prova de regularidade relativa ao Fundo de Garantia por Tempo de Serviços (FGTS), mediante apresentação de guias pagas e Certidões de Regularidade da Situação/CRF;</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c) Prova de regularidade perante a Justiça do Trabalho;</w:t>
      </w:r>
    </w:p>
    <w:p>
      <w:pPr>
        <w:pStyle w:val="Normal"/>
        <w:widowControl w:val="false"/>
        <w:numPr>
          <w:ilvl w:val="0"/>
          <w:numId w:val="1"/>
        </w:numPr>
        <w:suppressAutoHyphens w:val="true"/>
        <w:bidi w:val="0"/>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val="pt-BR" w:eastAsia="zxx" w:bidi="ar-SA"/>
        </w:rPr>
        <w:t>d) Prova de regularidade perante a Procuradoria Estadual.</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e) Prova de regularidade perante a Fazenda Estadual.</w:t>
      </w:r>
    </w:p>
    <w:p>
      <w:pPr>
        <w:pStyle w:val="Normal"/>
        <w:widowControl w:val="false"/>
        <w:numPr>
          <w:ilvl w:val="0"/>
          <w:numId w:val="1"/>
        </w:numPr>
        <w:suppressAutoHyphens w:val="true"/>
        <w:bidi w:val="0"/>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f) Prova de regularidade perante a Fazenda Municipal.</w:t>
      </w:r>
    </w:p>
    <w:p>
      <w:pPr>
        <w:pStyle w:val="Normal"/>
        <w:spacing w:lineRule="auto" w:line="360"/>
        <w:jc w:val="both"/>
        <w:rPr>
          <w:rFonts w:ascii="Arial" w:hAnsi="Arial"/>
          <w:color w:val="000000"/>
          <w:sz w:val="22"/>
          <w:szCs w:val="22"/>
        </w:rPr>
      </w:pPr>
      <w:r>
        <w:rPr>
          <w:rFonts w:ascii="Arial" w:hAnsi="Arial"/>
          <w:color w:val="000000"/>
          <w:sz w:val="22"/>
          <w:szCs w:val="22"/>
        </w:rPr>
        <w:t>2.1.3. Os pagamentos serão efetuados pela Administração Municipal em moeda corrente nacional, em 30 dias, contados da emissão do Termo de Recebimento Definitivo e comprovação de regularidade fiscal junto aos órgãos competentes através da apresentação de certidões negativas e/ou guias de pagamento, se aplicáveis ao caso.</w:t>
      </w:r>
    </w:p>
    <w:p>
      <w:pPr>
        <w:pStyle w:val="Normal"/>
        <w:spacing w:lineRule="auto" w:line="360"/>
        <w:jc w:val="both"/>
        <w:rPr>
          <w:rFonts w:ascii="Arial" w:hAnsi="Arial"/>
          <w:color w:val="000000"/>
          <w:sz w:val="22"/>
          <w:szCs w:val="22"/>
        </w:rPr>
      </w:pPr>
      <w:r>
        <w:rPr>
          <w:rFonts w:ascii="Arial" w:hAnsi="Arial"/>
          <w:color w:val="000000"/>
          <w:sz w:val="22"/>
          <w:szCs w:val="22"/>
        </w:rPr>
      </w:r>
    </w:p>
    <w:p>
      <w:pPr>
        <w:pStyle w:val="Normal"/>
        <w:spacing w:lineRule="auto" w:line="360"/>
        <w:jc w:val="both"/>
        <w:rPr/>
      </w:pPr>
      <w:r>
        <w:rPr>
          <w:rFonts w:ascii="Arial" w:hAnsi="Arial"/>
          <w:color w:val="000000"/>
          <w:sz w:val="22"/>
          <w:szCs w:val="22"/>
        </w:rPr>
        <w:t>2.1.4.</w:t>
        <w:tab/>
        <w:t>A A</w:t>
      </w:r>
      <w:r>
        <w:rPr>
          <w:rStyle w:val="Fontepargpadro3"/>
          <w:rFonts w:eastAsia="Arial" w:cs="Arial" w:ascii="Arial" w:hAnsi="Arial"/>
          <w:color w:val="000000"/>
          <w:sz w:val="22"/>
          <w:szCs w:val="22"/>
          <w:lang w:eastAsia="zxx"/>
        </w:rPr>
        <w:t>djudicatária</w:t>
      </w:r>
      <w:r>
        <w:rPr>
          <w:rFonts w:ascii="Arial" w:hAnsi="Arial"/>
          <w:color w:val="000000"/>
          <w:sz w:val="22"/>
          <w:szCs w:val="22"/>
        </w:rPr>
        <w:t xml:space="preserve"> não poderá suspender o cumprimento de suas obrigações e deverá tolerar possíveis atrasos de pagamento nos termos previstos no artigo 137, §2°, IV, da Lei Federal n° 14.133/2021.</w:t>
      </w:r>
    </w:p>
    <w:p>
      <w:pPr>
        <w:pStyle w:val="Normal"/>
        <w:spacing w:lineRule="auto" w:line="360"/>
        <w:jc w:val="both"/>
        <w:rPr>
          <w:rFonts w:ascii="Arial" w:hAnsi="Arial" w:cs="Arial"/>
          <w:color w:val="000000"/>
          <w:sz w:val="22"/>
          <w:szCs w:val="22"/>
          <w:lang w:eastAsia="en-US"/>
        </w:rPr>
      </w:pPr>
      <w:r>
        <w:rPr>
          <w:rFonts w:cs="Arial" w:ascii="Arial" w:hAnsi="Arial"/>
          <w:color w:val="000000"/>
          <w:sz w:val="22"/>
          <w:szCs w:val="22"/>
          <w:lang w:eastAsia="en-US"/>
        </w:rPr>
        <w:tab/>
      </w:r>
    </w:p>
    <w:p>
      <w:pPr>
        <w:pStyle w:val="Normal"/>
        <w:spacing w:lineRule="auto" w:line="360"/>
        <w:jc w:val="both"/>
        <w:rPr/>
      </w:pPr>
      <w:r>
        <w:rPr>
          <w:rFonts w:cs="Arial" w:ascii="Arial" w:hAnsi="Arial"/>
          <w:color w:val="000000"/>
          <w:sz w:val="22"/>
          <w:szCs w:val="22"/>
          <w:lang w:eastAsia="en-US"/>
        </w:rPr>
        <w:t>2.1.5. A Adjudicante estará eximida de cumprir os itens relativos às compensações financeiras nos casos em que a A</w:t>
      </w:r>
      <w:r>
        <w:rPr>
          <w:rStyle w:val="Fontepargpadro3"/>
          <w:rFonts w:eastAsia="Arial" w:cs="Arial" w:ascii="Arial" w:hAnsi="Arial"/>
          <w:color w:val="000000"/>
          <w:sz w:val="22"/>
          <w:szCs w:val="22"/>
          <w:lang w:eastAsia="zxx"/>
        </w:rPr>
        <w:t>djudicatária</w:t>
      </w:r>
      <w:r>
        <w:rPr>
          <w:rFonts w:cs="Arial" w:ascii="Arial" w:hAnsi="Arial"/>
          <w:color w:val="000000"/>
          <w:sz w:val="22"/>
          <w:szCs w:val="22"/>
          <w:lang w:eastAsia="en-US"/>
        </w:rPr>
        <w:t xml:space="preserve"> houver concorrido direta ou indiretamente para a ocorrência do atraso.</w:t>
      </w:r>
    </w:p>
    <w:p>
      <w:pPr>
        <w:pStyle w:val="Normal"/>
        <w:spacing w:lineRule="auto" w:line="360"/>
        <w:jc w:val="both"/>
        <w:rPr>
          <w:rFonts w:ascii="Arial" w:hAnsi="Arial" w:cs="Arial"/>
          <w:color w:val="000000"/>
          <w:sz w:val="22"/>
          <w:szCs w:val="22"/>
          <w:lang w:eastAsia="en-US"/>
        </w:rPr>
      </w:pPr>
      <w:r>
        <w:rPr>
          <w:rFonts w:cs="Arial" w:ascii="Arial" w:hAnsi="Arial"/>
          <w:color w:val="000000"/>
          <w:sz w:val="22"/>
          <w:szCs w:val="22"/>
          <w:lang w:eastAsia="en-US"/>
        </w:rPr>
      </w:r>
    </w:p>
    <w:p>
      <w:pPr>
        <w:pStyle w:val="Normal"/>
        <w:spacing w:lineRule="auto" w:line="360"/>
        <w:jc w:val="both"/>
        <w:rPr/>
      </w:pPr>
      <w:r>
        <w:rPr>
          <w:rFonts w:cs="Arial" w:ascii="Arial" w:hAnsi="Arial"/>
          <w:color w:val="000000"/>
          <w:sz w:val="22"/>
          <w:szCs w:val="22"/>
          <w:lang w:eastAsia="en-US"/>
        </w:rPr>
        <w:t xml:space="preserve">2.1.6. </w:t>
      </w:r>
      <w:r>
        <w:rPr>
          <w:rFonts w:eastAsia="Courier New" w:cs="Arial" w:ascii="Arial" w:hAnsi="Arial"/>
          <w:color w:val="000000"/>
          <w:kern w:val="2"/>
          <w:sz w:val="22"/>
          <w:szCs w:val="22"/>
          <w:lang w:val="pt-BR" w:eastAsia="zh-CN" w:bidi="ar-SA"/>
        </w:rPr>
        <w:t>As despesas decorrentes dos serviços, objeto desta licitação, correrão por conta das seguintes dotações orçamentárias:</w:t>
      </w:r>
    </w:p>
    <w:p>
      <w:pPr>
        <w:pStyle w:val="Normal"/>
        <w:tabs>
          <w:tab w:val="clear" w:pos="709"/>
          <w:tab w:val="left" w:pos="0" w:leader="none"/>
        </w:tabs>
        <w:spacing w:lineRule="auto" w:line="276"/>
        <w:ind w:left="0" w:right="0" w:hanging="0"/>
        <w:jc w:val="both"/>
        <w:rPr>
          <w:rStyle w:val="Fontepargpadro"/>
          <w:rFonts w:ascii="Arial" w:hAnsi="Arial" w:cs="Arial"/>
          <w:color w:val="000000"/>
          <w:sz w:val="20"/>
          <w:szCs w:val="20"/>
          <w:shd w:fill="auto" w:val="clear"/>
        </w:rPr>
      </w:pPr>
      <w:r>
        <w:rPr>
          <w:rFonts w:cs="Arial" w:ascii="Arial" w:hAnsi="Arial"/>
          <w:color w:val="000000"/>
          <w:sz w:val="20"/>
          <w:szCs w:val="20"/>
          <w:shd w:fill="auto" w:val="clear"/>
        </w:rPr>
      </w:r>
    </w:p>
    <w:tbl>
      <w:tblPr>
        <w:tblW w:w="9925" w:type="dxa"/>
        <w:jc w:val="left"/>
        <w:tblInd w:w="58" w:type="dxa"/>
        <w:tblLayout w:type="fixed"/>
        <w:tblCellMar>
          <w:top w:w="28" w:type="dxa"/>
          <w:left w:w="28" w:type="dxa"/>
          <w:bottom w:w="28" w:type="dxa"/>
          <w:right w:w="28" w:type="dxa"/>
        </w:tblCellMar>
      </w:tblPr>
      <w:tblGrid>
        <w:gridCol w:w="1700"/>
        <w:gridCol w:w="1134"/>
        <w:gridCol w:w="1081"/>
        <w:gridCol w:w="844"/>
        <w:gridCol w:w="885"/>
        <w:gridCol w:w="2010"/>
        <w:gridCol w:w="1704"/>
        <w:gridCol w:w="565"/>
      </w:tblGrid>
      <w:tr>
        <w:trPr>
          <w:trHeight w:val="311" w:hRule="atLeast"/>
        </w:trPr>
        <w:tc>
          <w:tcPr>
            <w:tcW w:w="1700"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eastAsia="SimSun" w:cs="Arial"/>
                <w:b/>
                <w:b/>
                <w:bCs/>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bCs/>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CÓDIGO</w:t>
            </w:r>
          </w:p>
        </w:tc>
        <w:tc>
          <w:tcPr>
            <w:tcW w:w="1134"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cs="Arial"/>
                <w:b/>
                <w:b/>
                <w:bCs/>
                <w:color w:val="000000"/>
                <w:sz w:val="16"/>
                <w:szCs w:val="16"/>
                <w:shd w:fill="auto" w:val="clear"/>
              </w:rPr>
            </w:pPr>
            <w:r>
              <w:rPr>
                <w:rFonts w:cs="Arial" w:ascii="Arial" w:hAnsi="Arial"/>
                <w:b/>
                <w:bCs/>
                <w:color w:val="000000"/>
                <w:sz w:val="16"/>
                <w:szCs w:val="16"/>
                <w:shd w:fill="auto" w:val="clear"/>
              </w:rPr>
              <w:t>NATUREZA</w:t>
            </w:r>
          </w:p>
        </w:tc>
        <w:tc>
          <w:tcPr>
            <w:tcW w:w="1081" w:type="dxa"/>
            <w:tcBorders>
              <w:top w:val="single" w:sz="2" w:space="0" w:color="000000"/>
              <w:left w:val="single" w:sz="2" w:space="0" w:color="000000"/>
              <w:bottom w:val="single" w:sz="2" w:space="0" w:color="000000"/>
            </w:tcBorders>
            <w:shd w:fill="DDDDDD" w:val="clear"/>
            <w:vAlign w:val="center"/>
          </w:tcPr>
          <w:p>
            <w:pPr>
              <w:pStyle w:val="Contedodatabela"/>
              <w:widowControl w:val="false"/>
              <w:tabs>
                <w:tab w:val="clear" w:pos="709"/>
                <w:tab w:val="left" w:pos="793" w:leader="none"/>
              </w:tabs>
              <w:spacing w:lineRule="auto" w:line="276"/>
              <w:jc w:val="center"/>
              <w:rPr>
                <w:rFonts w:ascii="Arial" w:hAnsi="Arial" w:cs="Arial"/>
                <w:b/>
                <w:b/>
                <w:bCs/>
                <w:color w:val="000000"/>
                <w:sz w:val="16"/>
                <w:szCs w:val="16"/>
                <w:shd w:fill="auto" w:val="clear"/>
              </w:rPr>
            </w:pPr>
            <w:r>
              <w:rPr>
                <w:rFonts w:cs="Arial" w:ascii="Arial" w:hAnsi="Arial"/>
                <w:b/>
                <w:bCs/>
                <w:color w:val="000000"/>
                <w:sz w:val="16"/>
                <w:szCs w:val="16"/>
                <w:shd w:fill="auto" w:val="clear"/>
              </w:rPr>
              <w:t>DESPESA</w:t>
            </w:r>
          </w:p>
        </w:tc>
        <w:tc>
          <w:tcPr>
            <w:tcW w:w="844"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cs="Arial"/>
                <w:b/>
                <w:b/>
                <w:bCs/>
                <w:color w:val="000000"/>
                <w:sz w:val="16"/>
                <w:szCs w:val="16"/>
                <w:shd w:fill="auto" w:val="clear"/>
              </w:rPr>
            </w:pPr>
            <w:r>
              <w:rPr>
                <w:rFonts w:cs="Arial" w:ascii="Arial" w:hAnsi="Arial"/>
                <w:b/>
                <w:bCs/>
                <w:color w:val="000000"/>
                <w:sz w:val="16"/>
                <w:szCs w:val="16"/>
                <w:shd w:fill="auto" w:val="clear"/>
              </w:rPr>
              <w:t>DESDO</w:t>
            </w:r>
          </w:p>
        </w:tc>
        <w:tc>
          <w:tcPr>
            <w:tcW w:w="885"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cs="Arial"/>
                <w:b/>
                <w:b/>
                <w:bCs/>
                <w:color w:val="000000"/>
                <w:sz w:val="16"/>
                <w:szCs w:val="16"/>
                <w:shd w:fill="auto" w:val="clear"/>
              </w:rPr>
            </w:pPr>
            <w:r>
              <w:rPr>
                <w:rFonts w:cs="Arial" w:ascii="Arial" w:hAnsi="Arial"/>
                <w:b/>
                <w:bCs/>
                <w:color w:val="000000"/>
                <w:sz w:val="16"/>
                <w:szCs w:val="16"/>
                <w:shd w:fill="auto" w:val="clear"/>
              </w:rPr>
              <w:t>FONTE</w:t>
            </w:r>
          </w:p>
        </w:tc>
        <w:tc>
          <w:tcPr>
            <w:tcW w:w="2010"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cs="Arial"/>
                <w:b/>
                <w:b/>
                <w:bCs/>
                <w:color w:val="000000"/>
                <w:sz w:val="16"/>
                <w:szCs w:val="16"/>
                <w:shd w:fill="auto" w:val="clear"/>
              </w:rPr>
            </w:pPr>
            <w:r>
              <w:rPr>
                <w:rFonts w:cs="Arial" w:ascii="Arial" w:hAnsi="Arial"/>
                <w:b/>
                <w:bCs/>
                <w:color w:val="000000"/>
                <w:sz w:val="16"/>
                <w:szCs w:val="16"/>
                <w:shd w:fill="auto" w:val="clear"/>
              </w:rPr>
              <w:t>RECURSO</w:t>
            </w:r>
          </w:p>
        </w:tc>
        <w:tc>
          <w:tcPr>
            <w:tcW w:w="1704" w:type="dxa"/>
            <w:tcBorders>
              <w:top w:val="single" w:sz="2" w:space="0" w:color="000000"/>
              <w:left w:val="single" w:sz="2" w:space="0" w:color="000000"/>
              <w:bottom w:val="single" w:sz="2" w:space="0" w:color="000000"/>
            </w:tcBorders>
            <w:shd w:fill="DDDDDD" w:val="clear"/>
            <w:vAlign w:val="center"/>
          </w:tcPr>
          <w:p>
            <w:pPr>
              <w:pStyle w:val="Contedodatabela"/>
              <w:widowControl w:val="false"/>
              <w:spacing w:lineRule="auto" w:line="276"/>
              <w:jc w:val="center"/>
              <w:rPr>
                <w:rFonts w:ascii="Arial" w:hAnsi="Arial" w:cs="Arial"/>
                <w:b/>
                <w:b/>
                <w:bCs/>
                <w:i w:val="false"/>
                <w:i w:val="false"/>
                <w:iCs w:val="false"/>
                <w:color w:val="000000"/>
                <w:sz w:val="16"/>
                <w:szCs w:val="16"/>
                <w:shd w:fill="auto" w:val="clear"/>
              </w:rPr>
            </w:pPr>
            <w:r>
              <w:rPr>
                <w:rFonts w:cs="Arial" w:ascii="Arial" w:hAnsi="Arial"/>
                <w:b/>
                <w:bCs/>
                <w:iCs w:val="false"/>
                <w:color w:val="000000"/>
                <w:sz w:val="16"/>
                <w:szCs w:val="16"/>
                <w:shd w:fill="auto" w:val="clear"/>
              </w:rPr>
              <w:t>ORIGEM DA DESPESA</w:t>
            </w:r>
          </w:p>
        </w:tc>
        <w:tc>
          <w:tcPr>
            <w:tcW w:w="565" w:type="dxa"/>
            <w:tcBorders>
              <w:top w:val="single" w:sz="2" w:space="0" w:color="000000"/>
              <w:left w:val="single" w:sz="2" w:space="0" w:color="000000"/>
              <w:bottom w:val="single" w:sz="2" w:space="0" w:color="000000"/>
              <w:right w:val="single" w:sz="2" w:space="0" w:color="000000"/>
            </w:tcBorders>
            <w:shd w:fill="DDDDDD" w:val="clear"/>
            <w:vAlign w:val="center"/>
          </w:tcPr>
          <w:p>
            <w:pPr>
              <w:pStyle w:val="Contedodatabela"/>
              <w:widowControl w:val="false"/>
              <w:spacing w:lineRule="auto" w:line="276"/>
              <w:jc w:val="center"/>
              <w:rPr>
                <w:rFonts w:ascii="Arial" w:hAnsi="Arial" w:cs="Arial"/>
                <w:b/>
                <w:b/>
                <w:bCs/>
                <w:i w:val="false"/>
                <w:i w:val="false"/>
                <w:iCs w:val="false"/>
                <w:color w:val="000000"/>
                <w:sz w:val="16"/>
                <w:szCs w:val="16"/>
                <w:shd w:fill="auto" w:val="clear"/>
              </w:rPr>
            </w:pPr>
            <w:r>
              <w:rPr>
                <w:rFonts w:cs="Arial" w:ascii="Arial" w:hAnsi="Arial"/>
                <w:b/>
                <w:bCs/>
                <w:iCs w:val="false"/>
                <w:color w:val="000000"/>
                <w:sz w:val="16"/>
                <w:szCs w:val="16"/>
                <w:shd w:fill="auto" w:val="clear"/>
              </w:rPr>
              <w:t>%</w:t>
            </w:r>
          </w:p>
        </w:tc>
      </w:tr>
      <w:tr>
        <w:trPr>
          <w:trHeight w:val="311" w:hRule="atLeast"/>
        </w:trPr>
        <w:tc>
          <w:tcPr>
            <w:tcW w:w="1700" w:type="dxa"/>
            <w:tcBorders>
              <w:left w:val="single" w:sz="2" w:space="0" w:color="000000"/>
              <w:bottom w:val="single" w:sz="2" w:space="0" w:color="000000"/>
            </w:tcBorders>
            <w:tcMar>
              <w:top w:w="0" w:type="dxa"/>
            </w:tcMar>
            <w:vAlign w:val="center"/>
          </w:tcPr>
          <w:p>
            <w:pPr>
              <w:pStyle w:val="Contedodatabela"/>
              <w:widowControl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10.302.0120.2.328</w:t>
            </w:r>
          </w:p>
        </w:tc>
        <w:tc>
          <w:tcPr>
            <w:tcW w:w="1134"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3.3.90.39</w:t>
            </w:r>
          </w:p>
        </w:tc>
        <w:tc>
          <w:tcPr>
            <w:tcW w:w="1081"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3284</w:t>
            </w:r>
          </w:p>
        </w:tc>
        <w:tc>
          <w:tcPr>
            <w:tcW w:w="844" w:type="dxa"/>
            <w:tcBorders>
              <w:left w:val="single" w:sz="2" w:space="0" w:color="000000"/>
              <w:bottom w:val="single" w:sz="2" w:space="0" w:color="000000"/>
            </w:tcBorders>
            <w:tcMar>
              <w:top w:w="0" w:type="dxa"/>
            </w:tcMar>
            <w:vAlign w:val="center"/>
          </w:tcPr>
          <w:p>
            <w:pPr>
              <w:pStyle w:val="Corpodotexto"/>
              <w:widowControl w:val="false"/>
              <w:snapToGrid w:val="false"/>
              <w:spacing w:lineRule="auto" w:line="276" w:before="0" w:after="0"/>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3285</w:t>
            </w:r>
          </w:p>
        </w:tc>
        <w:tc>
          <w:tcPr>
            <w:tcW w:w="885"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170401</w:t>
            </w:r>
          </w:p>
        </w:tc>
        <w:tc>
          <w:tcPr>
            <w:tcW w:w="2010"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ROYALTIES ATE 5%</w:t>
            </w:r>
          </w:p>
        </w:tc>
        <w:tc>
          <w:tcPr>
            <w:tcW w:w="1704"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ROYALTIES ATE 5%</w:t>
            </w:r>
          </w:p>
        </w:tc>
        <w:tc>
          <w:tcPr>
            <w:tcW w:w="565" w:type="dxa"/>
            <w:tcBorders>
              <w:left w:val="single" w:sz="2" w:space="0" w:color="000000"/>
              <w:bottom w:val="single" w:sz="2" w:space="0" w:color="000000"/>
              <w:right w:val="single" w:sz="2" w:space="0" w:color="000000"/>
            </w:tcBorders>
            <w:tcMar>
              <w:top w:w="0" w:type="dxa"/>
            </w:tcMar>
            <w:vAlign w:val="center"/>
          </w:tcPr>
          <w:p>
            <w:pPr>
              <w:pStyle w:val="Contedodatabela"/>
              <w:widowControl w:val="false"/>
              <w:snapToGrid w:val="false"/>
              <w:spacing w:lineRule="auto" w:line="276"/>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25%</w:t>
            </w:r>
          </w:p>
        </w:tc>
      </w:tr>
      <w:tr>
        <w:trPr>
          <w:trHeight w:val="534" w:hRule="atLeast"/>
        </w:trPr>
        <w:tc>
          <w:tcPr>
            <w:tcW w:w="1700" w:type="dxa"/>
            <w:tcBorders>
              <w:left w:val="single" w:sz="2" w:space="0" w:color="000000"/>
              <w:bottom w:val="single" w:sz="2" w:space="0" w:color="000000"/>
            </w:tcBorders>
            <w:tcMar>
              <w:top w:w="0" w:type="dxa"/>
            </w:tcMar>
            <w:vAlign w:val="center"/>
          </w:tcPr>
          <w:p>
            <w:pPr>
              <w:pStyle w:val="Contedodatabela"/>
              <w:widowControl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10.302.0120.2.328</w:t>
            </w:r>
          </w:p>
        </w:tc>
        <w:tc>
          <w:tcPr>
            <w:tcW w:w="1134"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3.3.90.39</w:t>
            </w:r>
          </w:p>
        </w:tc>
        <w:tc>
          <w:tcPr>
            <w:tcW w:w="1081"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3286</w:t>
            </w:r>
          </w:p>
        </w:tc>
        <w:tc>
          <w:tcPr>
            <w:tcW w:w="844" w:type="dxa"/>
            <w:tcBorders>
              <w:left w:val="single" w:sz="2" w:space="0" w:color="000000"/>
              <w:bottom w:val="single" w:sz="2" w:space="0" w:color="000000"/>
            </w:tcBorders>
            <w:tcMar>
              <w:top w:w="0" w:type="dxa"/>
            </w:tcMar>
            <w:vAlign w:val="center"/>
          </w:tcPr>
          <w:p>
            <w:pPr>
              <w:pStyle w:val="Corpodotexto"/>
              <w:widowControl w:val="false"/>
              <w:snapToGrid w:val="false"/>
              <w:spacing w:lineRule="auto" w:line="276" w:before="0" w:after="0"/>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3288</w:t>
            </w:r>
          </w:p>
        </w:tc>
        <w:tc>
          <w:tcPr>
            <w:tcW w:w="885"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170403</w:t>
            </w:r>
          </w:p>
        </w:tc>
        <w:tc>
          <w:tcPr>
            <w:tcW w:w="2010"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ROYALTIES ATE 5%</w:t>
            </w:r>
          </w:p>
        </w:tc>
        <w:tc>
          <w:tcPr>
            <w:tcW w:w="1704"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ROYALTIES ATE 5%</w:t>
            </w:r>
          </w:p>
        </w:tc>
        <w:tc>
          <w:tcPr>
            <w:tcW w:w="565" w:type="dxa"/>
            <w:tcBorders>
              <w:left w:val="single" w:sz="2" w:space="0" w:color="000000"/>
              <w:bottom w:val="single" w:sz="2" w:space="0" w:color="000000"/>
              <w:right w:val="single" w:sz="2" w:space="0" w:color="000000"/>
            </w:tcBorders>
            <w:tcMar>
              <w:top w:w="0" w:type="dxa"/>
            </w:tcMar>
            <w:vAlign w:val="center"/>
          </w:tcPr>
          <w:p>
            <w:pPr>
              <w:pStyle w:val="Contedodatabela"/>
              <w:widowControl w:val="false"/>
              <w:snapToGrid w:val="false"/>
              <w:spacing w:lineRule="auto" w:line="276"/>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25%</w:t>
            </w:r>
          </w:p>
        </w:tc>
      </w:tr>
      <w:tr>
        <w:trPr>
          <w:trHeight w:val="534" w:hRule="atLeast"/>
        </w:trPr>
        <w:tc>
          <w:tcPr>
            <w:tcW w:w="1700" w:type="dxa"/>
            <w:tcBorders>
              <w:left w:val="single" w:sz="2" w:space="0" w:color="000000"/>
              <w:bottom w:val="single" w:sz="2" w:space="0" w:color="000000"/>
            </w:tcBorders>
            <w:tcMar>
              <w:top w:w="0" w:type="dxa"/>
            </w:tcMar>
            <w:vAlign w:val="center"/>
          </w:tcPr>
          <w:p>
            <w:pPr>
              <w:pStyle w:val="Contedodatabela"/>
              <w:widowControl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10.301.0116.2.095</w:t>
            </w:r>
          </w:p>
        </w:tc>
        <w:tc>
          <w:tcPr>
            <w:tcW w:w="1134"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3.3.90.39</w:t>
            </w:r>
          </w:p>
        </w:tc>
        <w:tc>
          <w:tcPr>
            <w:tcW w:w="1081"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3007</w:t>
            </w:r>
          </w:p>
        </w:tc>
        <w:tc>
          <w:tcPr>
            <w:tcW w:w="844" w:type="dxa"/>
            <w:tcBorders>
              <w:left w:val="single" w:sz="2" w:space="0" w:color="000000"/>
              <w:bottom w:val="single" w:sz="2" w:space="0" w:color="000000"/>
            </w:tcBorders>
            <w:tcMar>
              <w:top w:w="0" w:type="dxa"/>
            </w:tcMar>
            <w:vAlign w:val="center"/>
          </w:tcPr>
          <w:p>
            <w:pPr>
              <w:pStyle w:val="Corpodotexto"/>
              <w:widowControl w:val="false"/>
              <w:snapToGrid w:val="false"/>
              <w:spacing w:lineRule="auto" w:line="276" w:before="0" w:after="0"/>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3012</w:t>
            </w:r>
          </w:p>
        </w:tc>
        <w:tc>
          <w:tcPr>
            <w:tcW w:w="885"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160002</w:t>
            </w:r>
          </w:p>
        </w:tc>
        <w:tc>
          <w:tcPr>
            <w:tcW w:w="2010"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ATENÇÃO BÁSICA</w:t>
            </w:r>
          </w:p>
        </w:tc>
        <w:tc>
          <w:tcPr>
            <w:tcW w:w="1704"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SUS-FUNDO A FUNDO(FEDERAL)</w:t>
            </w:r>
          </w:p>
        </w:tc>
        <w:tc>
          <w:tcPr>
            <w:tcW w:w="565" w:type="dxa"/>
            <w:tcBorders>
              <w:left w:val="single" w:sz="2" w:space="0" w:color="000000"/>
              <w:bottom w:val="single" w:sz="2" w:space="0" w:color="000000"/>
              <w:right w:val="single" w:sz="2" w:space="0" w:color="000000"/>
            </w:tcBorders>
            <w:tcMar>
              <w:top w:w="0" w:type="dxa"/>
            </w:tcMar>
            <w:vAlign w:val="center"/>
          </w:tcPr>
          <w:p>
            <w:pPr>
              <w:pStyle w:val="Contedodatabela"/>
              <w:widowControl w:val="false"/>
              <w:snapToGrid w:val="false"/>
              <w:spacing w:lineRule="auto" w:line="276"/>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25%</w:t>
            </w:r>
          </w:p>
        </w:tc>
      </w:tr>
      <w:tr>
        <w:trPr>
          <w:trHeight w:val="534" w:hRule="atLeast"/>
        </w:trPr>
        <w:tc>
          <w:tcPr>
            <w:tcW w:w="1700" w:type="dxa"/>
            <w:tcBorders>
              <w:left w:val="single" w:sz="2" w:space="0" w:color="000000"/>
              <w:bottom w:val="single" w:sz="2" w:space="0" w:color="000000"/>
            </w:tcBorders>
            <w:tcMar>
              <w:top w:w="0" w:type="dxa"/>
            </w:tcMar>
            <w:vAlign w:val="center"/>
          </w:tcPr>
          <w:p>
            <w:pPr>
              <w:pStyle w:val="Contedodatabela"/>
              <w:widowControl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10.302.0120.2..378</w:t>
            </w:r>
          </w:p>
        </w:tc>
        <w:tc>
          <w:tcPr>
            <w:tcW w:w="1134"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3.3.90.39</w:t>
            </w:r>
          </w:p>
        </w:tc>
        <w:tc>
          <w:tcPr>
            <w:tcW w:w="1081"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4562</w:t>
            </w:r>
          </w:p>
        </w:tc>
        <w:tc>
          <w:tcPr>
            <w:tcW w:w="844" w:type="dxa"/>
            <w:tcBorders>
              <w:left w:val="single" w:sz="2" w:space="0" w:color="000000"/>
              <w:bottom w:val="single" w:sz="2" w:space="0" w:color="000000"/>
            </w:tcBorders>
            <w:tcMar>
              <w:top w:w="0" w:type="dxa"/>
            </w:tcMar>
            <w:vAlign w:val="center"/>
          </w:tcPr>
          <w:p>
            <w:pPr>
              <w:pStyle w:val="Corpodotexto"/>
              <w:widowControl w:val="false"/>
              <w:snapToGrid w:val="false"/>
              <w:spacing w:lineRule="auto" w:line="276" w:before="0" w:after="0"/>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4659</w:t>
            </w:r>
          </w:p>
        </w:tc>
        <w:tc>
          <w:tcPr>
            <w:tcW w:w="885" w:type="dxa"/>
            <w:tcBorders>
              <w:left w:val="single" w:sz="2" w:space="0" w:color="000000"/>
              <w:bottom w:val="single" w:sz="2" w:space="0" w:color="000000"/>
            </w:tcBorders>
            <w:tcMar>
              <w:top w:w="0" w:type="dxa"/>
            </w:tcMar>
            <w:vAlign w:val="center"/>
          </w:tcPr>
          <w:p>
            <w:pPr>
              <w:pStyle w:val="Contedodatabela"/>
              <w:widowControl w:val="false"/>
              <w:snapToGrid w:val="false"/>
              <w:spacing w:lineRule="auto" w:line="276"/>
              <w:jc w:val="center"/>
              <w:rPr>
                <w:rFonts w:ascii="Arial" w:hAnsi="Arial" w:cs="Arial"/>
                <w:b w:val="false"/>
                <w:b w:val="false"/>
                <w:bCs w:val="false"/>
                <w:color w:val="000000"/>
                <w:sz w:val="16"/>
                <w:szCs w:val="16"/>
                <w:shd w:fill="auto" w:val="clear"/>
              </w:rPr>
            </w:pPr>
            <w:r>
              <w:rPr>
                <w:rFonts w:cs="Arial" w:ascii="Arial" w:hAnsi="Arial"/>
                <w:b w:val="false"/>
                <w:bCs w:val="false"/>
                <w:color w:val="000000"/>
                <w:sz w:val="16"/>
                <w:szCs w:val="16"/>
                <w:shd w:fill="auto" w:val="clear"/>
              </w:rPr>
              <w:t>160003</w:t>
            </w:r>
          </w:p>
        </w:tc>
        <w:tc>
          <w:tcPr>
            <w:tcW w:w="2010"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4"/>
                <w:sz w:val="14"/>
                <w:szCs w:val="14"/>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4"/>
                <w:sz w:val="14"/>
                <w:szCs w:val="14"/>
                <w:u w:val="none"/>
                <w:shd w:fill="auto" w:val="clear"/>
                <w:vertAlign w:val="baseline"/>
                <w:em w:val="none"/>
                <w:lang w:val="pt-BR" w:eastAsia="zh-CN" w:bidi="hi-IN"/>
              </w:rPr>
              <w:t>ATENÇÃO DE ALTA E MÉDIA COMPLEXIDADE</w:t>
            </w:r>
          </w:p>
        </w:tc>
        <w:tc>
          <w:tcPr>
            <w:tcW w:w="1704" w:type="dxa"/>
            <w:tcBorders>
              <w:left w:val="single" w:sz="2" w:space="0" w:color="000000"/>
              <w:bottom w:val="single" w:sz="2" w:space="0" w:color="000000"/>
            </w:tcBorders>
            <w:tcMar>
              <w:top w:w="0" w:type="dxa"/>
            </w:tcMar>
            <w:vAlign w:val="center"/>
          </w:tcPr>
          <w:p>
            <w:pPr>
              <w:pStyle w:val="Contedodatabela"/>
              <w:widowControl w:val="false"/>
              <w:suppressLineNumbers/>
              <w:tabs>
                <w:tab w:val="clear" w:pos="709"/>
                <w:tab w:val="left" w:pos="120" w:leader="none"/>
                <w:tab w:val="right" w:pos="9645" w:leader="none"/>
              </w:tabs>
              <w:suppressAutoHyphens w:val="true"/>
              <w:overflowPunct w:val="false"/>
              <w:bidi w:val="0"/>
              <w:snapToGrid w:val="false"/>
              <w:spacing w:lineRule="auto" w:line="276"/>
              <w:ind w:left="0" w:right="0" w:hanging="0"/>
              <w:jc w:val="center"/>
              <w:textAlignment w:val="baseline"/>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SUS-FUNDO A FUNDO(FEDERAL)</w:t>
            </w:r>
          </w:p>
        </w:tc>
        <w:tc>
          <w:tcPr>
            <w:tcW w:w="565" w:type="dxa"/>
            <w:tcBorders>
              <w:left w:val="single" w:sz="2" w:space="0" w:color="000000"/>
              <w:bottom w:val="single" w:sz="2" w:space="0" w:color="000000"/>
              <w:right w:val="single" w:sz="2" w:space="0" w:color="000000"/>
            </w:tcBorders>
            <w:tcMar>
              <w:top w:w="0" w:type="dxa"/>
            </w:tcMar>
            <w:vAlign w:val="center"/>
          </w:tcPr>
          <w:p>
            <w:pPr>
              <w:pStyle w:val="Contedodatabela"/>
              <w:widowControl w:val="false"/>
              <w:snapToGrid w:val="false"/>
              <w:spacing w:lineRule="auto" w:line="276"/>
              <w:jc w:val="center"/>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pP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16"/>
                <w:sz w:val="16"/>
                <w:szCs w:val="16"/>
                <w:u w:val="none"/>
                <w:shd w:fill="auto" w:val="clear"/>
                <w:vertAlign w:val="baseline"/>
                <w:em w:val="none"/>
                <w:lang w:val="pt-BR" w:eastAsia="zh-CN" w:bidi="hi-IN"/>
              </w:rPr>
              <w:t>25%</w:t>
            </w:r>
          </w:p>
        </w:tc>
      </w:tr>
    </w:tbl>
    <w:p>
      <w:pPr>
        <w:pStyle w:val="Normal"/>
        <w:spacing w:lineRule="auto" w:line="276"/>
        <w:rPr>
          <w:rStyle w:val="Fontepargpadro"/>
          <w:rFonts w:ascii="Arial" w:hAnsi="Arial" w:cs="Calibri"/>
          <w:b w:val="false"/>
          <w:b w:val="false"/>
          <w:bCs w:val="false"/>
          <w:i w:val="false"/>
          <w:i w:val="false"/>
          <w:caps w:val="false"/>
          <w:smallCaps w:val="false"/>
          <w:color w:val="222222"/>
          <w:spacing w:val="0"/>
          <w:sz w:val="20"/>
          <w:szCs w:val="20"/>
          <w:shd w:fill="auto" w:val="clear"/>
        </w:rPr>
      </w:pPr>
      <w:r>
        <w:rPr>
          <w:rFonts w:cs="Calibri" w:ascii="Arial" w:hAnsi="Arial"/>
          <w:b w:val="false"/>
          <w:bCs w:val="false"/>
          <w:i w:val="false"/>
          <w:caps w:val="false"/>
          <w:smallCaps w:val="false"/>
          <w:color w:val="222222"/>
          <w:spacing w:val="0"/>
          <w:sz w:val="20"/>
          <w:szCs w:val="20"/>
          <w:shd w:fill="auto" w:val="clear"/>
        </w:rPr>
      </w:r>
    </w:p>
    <w:p>
      <w:pPr>
        <w:pStyle w:val="Nivel2"/>
        <w:numPr>
          <w:ilvl w:val="0"/>
          <w:numId w:val="0"/>
        </w:numPr>
        <w:spacing w:lineRule="auto" w:line="360" w:before="0" w:after="0"/>
        <w:ind w:left="0" w:right="0" w:hanging="0"/>
        <w:rPr>
          <w:color w:val="000000"/>
          <w:sz w:val="22"/>
          <w:szCs w:val="22"/>
          <w:lang w:eastAsia="en-US"/>
        </w:rPr>
      </w:pPr>
      <w:r>
        <w:rPr>
          <w:color w:val="000000"/>
          <w:sz w:val="22"/>
          <w:szCs w:val="22"/>
          <w:lang w:eastAsia="en-US"/>
        </w:rPr>
        <w:t>2.1.7. Caso haja listagem do cadastro de reserva referente ao presente registro de preços, este constará como anexo a esta Ata.</w:t>
      </w:r>
    </w:p>
    <w:p>
      <w:pPr>
        <w:pStyle w:val="Nivel2"/>
        <w:numPr>
          <w:ilvl w:val="0"/>
          <w:numId w:val="0"/>
        </w:numPr>
        <w:spacing w:lineRule="auto" w:line="360" w:before="0" w:after="0"/>
        <w:ind w:left="0" w:right="0" w:hanging="0"/>
        <w:rPr/>
      </w:pPr>
      <w:r>
        <w:rPr/>
      </w:r>
    </w:p>
    <w:p>
      <w:pPr>
        <w:pStyle w:val="Nivel2"/>
        <w:numPr>
          <w:ilvl w:val="0"/>
          <w:numId w:val="0"/>
        </w:numPr>
        <w:spacing w:lineRule="auto" w:line="360" w:before="0" w:after="0"/>
        <w:ind w:left="0" w:right="0" w:hanging="0"/>
        <w:rPr/>
      </w:pPr>
      <w:r>
        <w:rPr>
          <w:color w:val="000000"/>
          <w:sz w:val="22"/>
          <w:szCs w:val="22"/>
          <w:lang w:eastAsia="en-US"/>
        </w:rPr>
        <w:t xml:space="preserve">2.3. </w:t>
      </w:r>
      <w:r>
        <w:rPr>
          <w:rFonts w:cs="Arial"/>
          <w:color w:val="000000"/>
          <w:sz w:val="22"/>
          <w:szCs w:val="22"/>
          <w:lang w:eastAsia="en-US"/>
        </w:rPr>
        <w:t>Os preços serão fixos e irreajustáveis, e inexiste a possibilidade de adoção pelas partes de qualquer espécie de atualização financeira antes do interregno mínimo de 01 (um) ano.</w:t>
      </w:r>
    </w:p>
    <w:p>
      <w:pPr>
        <w:pStyle w:val="Nivel2"/>
        <w:numPr>
          <w:ilvl w:val="0"/>
          <w:numId w:val="0"/>
        </w:numPr>
        <w:spacing w:lineRule="auto" w:line="360" w:before="0" w:after="0"/>
        <w:ind w:left="0" w:right="0" w:hanging="0"/>
        <w:rPr>
          <w:rFonts w:cs="Arial"/>
          <w:color w:val="000000"/>
          <w:sz w:val="22"/>
          <w:szCs w:val="22"/>
          <w:lang w:eastAsia="en-US"/>
        </w:rPr>
      </w:pPr>
      <w:r>
        <w:rPr>
          <w:rFonts w:cs="Arial"/>
          <w:color w:val="000000"/>
          <w:sz w:val="22"/>
          <w:szCs w:val="22"/>
          <w:lang w:eastAsia="en-US"/>
        </w:rPr>
      </w:r>
    </w:p>
    <w:p>
      <w:pPr>
        <w:pStyle w:val="Nivel2"/>
        <w:numPr>
          <w:ilvl w:val="0"/>
          <w:numId w:val="0"/>
        </w:numPr>
        <w:spacing w:lineRule="auto" w:line="360" w:before="0" w:after="0"/>
        <w:ind w:left="0" w:right="0" w:hanging="0"/>
        <w:rPr>
          <w:rFonts w:cs="Arial"/>
          <w:color w:val="000000"/>
          <w:sz w:val="22"/>
          <w:szCs w:val="22"/>
          <w:lang w:eastAsia="en-US"/>
        </w:rPr>
      </w:pPr>
      <w:r>
        <w:rPr>
          <w:rFonts w:cs="Arial"/>
          <w:color w:val="000000"/>
          <w:sz w:val="22"/>
          <w:szCs w:val="22"/>
          <w:lang w:eastAsia="en-US"/>
        </w:rPr>
        <w:t>2.3.1. - No caso de prorrogação do prazo de vigência da Ata de Registro de Preços ou do(s) contrato(s) dela decorrente(s), e desde que observado o interregno mínimo de 01 (um) ano, contado da data da proposta de preços, (Art. 27, do Decreto Municipal 3845/2024) ou, nos reajustes subsequentes ao primeiro ocorrido nesse(s) contrato(s), da data de início dos efeitos financeiros do último reajuste ocorrido, os valores contratados poderão ser reajustados utilizando-se a variação do Índice Nacional de Preços ao Consumidor Amplo (IPCA), instituído pelo Instituto Brasileiro de Geografia e Estatística IBGE.</w:t>
      </w:r>
    </w:p>
    <w:p>
      <w:pPr>
        <w:pStyle w:val="Nivel2"/>
        <w:numPr>
          <w:ilvl w:val="0"/>
          <w:numId w:val="0"/>
        </w:numPr>
        <w:spacing w:lineRule="auto" w:line="360" w:before="0" w:after="0"/>
        <w:ind w:left="0" w:right="0" w:hanging="0"/>
        <w:rPr>
          <w:b/>
          <w:b/>
          <w:bCs/>
          <w:sz w:val="22"/>
          <w:szCs w:val="22"/>
        </w:rPr>
      </w:pPr>
      <w:r>
        <w:rPr>
          <w:b/>
          <w:bCs/>
          <w:sz w:val="22"/>
          <w:szCs w:val="22"/>
        </w:rPr>
        <w:t>3. ÓRGÃO GERENCIADOR E PARTICIPANTES: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3.1.</w:t>
      </w:r>
      <w:r>
        <w:rPr>
          <w:b w:val="false"/>
          <w:bCs w:val="false"/>
          <w:i w:val="false"/>
          <w:iCs w:val="false"/>
          <w:color w:val="auto"/>
          <w:sz w:val="22"/>
          <w:szCs w:val="22"/>
        </w:rPr>
        <w:t xml:space="preserve">Além do gerenciador, não há órgãos e entidades públicas participantes do Registro de Preços. </w:t>
      </w:r>
    </w:p>
    <w:p>
      <w:pPr>
        <w:pStyle w:val="Nivel2"/>
        <w:numPr>
          <w:ilvl w:val="0"/>
          <w:numId w:val="0"/>
        </w:numPr>
        <w:spacing w:lineRule="auto" w:line="360" w:before="0" w:after="0"/>
        <w:ind w:left="0" w:right="0" w:hanging="0"/>
        <w:rPr>
          <w:sz w:val="22"/>
          <w:szCs w:val="22"/>
        </w:rPr>
      </w:pPr>
      <w:r>
        <w:rPr>
          <w:sz w:val="22"/>
          <w:szCs w:val="22"/>
        </w:rPr>
      </w:r>
    </w:p>
    <w:tbl>
      <w:tblPr>
        <w:tblW w:w="5000" w:type="pct"/>
        <w:jc w:val="left"/>
        <w:tblInd w:w="55" w:type="dxa"/>
        <w:tblLayout w:type="fixed"/>
        <w:tblCellMar>
          <w:top w:w="55" w:type="dxa"/>
          <w:left w:w="55" w:type="dxa"/>
          <w:bottom w:w="55" w:type="dxa"/>
          <w:right w:w="55" w:type="dxa"/>
        </w:tblCellMar>
      </w:tblPr>
      <w:tblGrid>
        <w:gridCol w:w="440"/>
        <w:gridCol w:w="7619"/>
        <w:gridCol w:w="1579"/>
      </w:tblGrid>
      <w:tr>
        <w:trPr/>
        <w:tc>
          <w:tcPr>
            <w:tcW w:w="440" w:type="dxa"/>
            <w:tcBorders>
              <w:top w:val="single" w:sz="4" w:space="0" w:color="000000"/>
              <w:left w:val="single" w:sz="4" w:space="0" w:color="000000"/>
              <w:bottom w:val="single" w:sz="4" w:space="0" w:color="000000"/>
            </w:tcBorders>
            <w:shd w:fill="EEEEEE" w:val="clear"/>
          </w:tcPr>
          <w:p>
            <w:pPr>
              <w:pStyle w:val="Contedodatabela"/>
              <w:widowControl w:val="false"/>
              <w:rPr>
                <w:rFonts w:ascii="Arial" w:hAnsi="Arial"/>
                <w:b/>
                <w:b/>
                <w:bCs/>
                <w:sz w:val="22"/>
                <w:szCs w:val="22"/>
              </w:rPr>
            </w:pPr>
            <w:r>
              <w:rPr>
                <w:rFonts w:ascii="Arial" w:hAnsi="Arial"/>
                <w:b/>
                <w:bCs/>
                <w:sz w:val="22"/>
                <w:szCs w:val="22"/>
              </w:rPr>
              <w:t>Nº</w:t>
            </w:r>
          </w:p>
        </w:tc>
        <w:tc>
          <w:tcPr>
            <w:tcW w:w="7619" w:type="dxa"/>
            <w:tcBorders>
              <w:top w:val="single" w:sz="4" w:space="0" w:color="000000"/>
              <w:left w:val="single" w:sz="4" w:space="0" w:color="000000"/>
              <w:bottom w:val="single" w:sz="4" w:space="0" w:color="000000"/>
            </w:tcBorders>
            <w:shd w:fill="EEEEEE" w:val="clear"/>
          </w:tcPr>
          <w:p>
            <w:pPr>
              <w:pStyle w:val="Contedodatabela"/>
              <w:widowControl w:val="false"/>
              <w:jc w:val="center"/>
              <w:rPr>
                <w:rFonts w:ascii="Arial" w:hAnsi="Arial"/>
                <w:b/>
                <w:b/>
                <w:bCs/>
                <w:sz w:val="22"/>
                <w:szCs w:val="22"/>
              </w:rPr>
            </w:pPr>
            <w:r>
              <w:rPr>
                <w:rFonts w:ascii="Arial" w:hAnsi="Arial"/>
                <w:b/>
                <w:bCs/>
                <w:sz w:val="22"/>
                <w:szCs w:val="22"/>
              </w:rPr>
              <w:t>ÓRGÃO</w:t>
            </w:r>
          </w:p>
        </w:tc>
        <w:tc>
          <w:tcPr>
            <w:tcW w:w="1579" w:type="dxa"/>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b/>
                <w:b/>
                <w:bCs/>
                <w:sz w:val="22"/>
                <w:szCs w:val="22"/>
              </w:rPr>
            </w:pPr>
            <w:r>
              <w:rPr>
                <w:rFonts w:ascii="Arial" w:hAnsi="Arial"/>
                <w:b/>
                <w:bCs/>
                <w:sz w:val="22"/>
                <w:szCs w:val="22"/>
              </w:rPr>
              <w:t>FUNÇÃO</w:t>
            </w:r>
          </w:p>
        </w:tc>
      </w:tr>
      <w:tr>
        <w:trPr/>
        <w:tc>
          <w:tcPr>
            <w:tcW w:w="440" w:type="dxa"/>
            <w:tcBorders>
              <w:left w:val="single" w:sz="4" w:space="0" w:color="000000"/>
              <w:bottom w:val="single" w:sz="4" w:space="0" w:color="000000"/>
            </w:tcBorders>
          </w:tcPr>
          <w:p>
            <w:pPr>
              <w:pStyle w:val="Contedodatabela"/>
              <w:widowControl w:val="false"/>
              <w:rPr>
                <w:rFonts w:ascii="Arial" w:hAnsi="Arial"/>
                <w:sz w:val="22"/>
                <w:szCs w:val="22"/>
              </w:rPr>
            </w:pPr>
            <w:r>
              <w:rPr>
                <w:rFonts w:ascii="Arial" w:hAnsi="Arial"/>
                <w:sz w:val="22"/>
                <w:szCs w:val="22"/>
              </w:rPr>
              <w:t>01</w:t>
            </w:r>
          </w:p>
        </w:tc>
        <w:tc>
          <w:tcPr>
            <w:tcW w:w="7619" w:type="dxa"/>
            <w:tcBorders>
              <w:left w:val="single" w:sz="4" w:space="0" w:color="000000"/>
              <w:bottom w:val="single" w:sz="4" w:space="0" w:color="000000"/>
            </w:tcBorders>
          </w:tcPr>
          <w:p>
            <w:pPr>
              <w:pStyle w:val="Contedodatabela"/>
              <w:widowControl w:val="false"/>
              <w:rPr/>
            </w:pPr>
            <w:r>
              <w:rPr>
                <w:rFonts w:cs="Arial" w:ascii="Arial" w:hAnsi="Arial"/>
                <w:sz w:val="22"/>
                <w:szCs w:val="22"/>
              </w:rPr>
              <w:t>Fundo Municipal de Saúde – FMS</w:t>
            </w:r>
          </w:p>
        </w:tc>
        <w:tc>
          <w:tcPr>
            <w:tcW w:w="1579"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sz w:val="22"/>
                <w:szCs w:val="22"/>
              </w:rPr>
            </w:pPr>
            <w:r>
              <w:rPr>
                <w:rFonts w:ascii="Arial" w:hAnsi="Arial"/>
                <w:sz w:val="22"/>
                <w:szCs w:val="22"/>
              </w:rPr>
              <w:t>Gerenciador</w:t>
            </w:r>
          </w:p>
        </w:tc>
      </w:tr>
    </w:tbl>
    <w:p>
      <w:pPr>
        <w:pStyle w:val="Nivel2"/>
        <w:numPr>
          <w:ilvl w:val="0"/>
          <w:numId w:val="0"/>
        </w:numPr>
        <w:spacing w:lineRule="auto" w:line="360" w:before="0" w:after="0"/>
        <w:ind w:left="0" w:right="0" w:hanging="0"/>
        <w:rPr>
          <w:rFonts w:ascii="Arial" w:hAnsi="Arial"/>
          <w:b w:val="false"/>
          <w:b w:val="false"/>
          <w:bCs w:val="false"/>
          <w:sz w:val="22"/>
          <w:szCs w:val="22"/>
        </w:rPr>
      </w:pPr>
      <w:r>
        <w:rPr>
          <w:b w:val="false"/>
          <w:bCs w:val="false"/>
          <w:sz w:val="22"/>
          <w:szCs w:val="22"/>
        </w:rPr>
      </w:r>
    </w:p>
    <w:p>
      <w:pPr>
        <w:pStyle w:val="Nivel01"/>
        <w:spacing w:lineRule="auto" w:line="360" w:before="0" w:after="0"/>
        <w:ind w:left="0" w:right="0" w:hanging="0"/>
        <w:rPr>
          <w:sz w:val="22"/>
          <w:szCs w:val="22"/>
        </w:rPr>
      </w:pPr>
      <w:r>
        <w:rPr>
          <w:sz w:val="22"/>
          <w:szCs w:val="22"/>
        </w:rPr>
      </w:r>
    </w:p>
    <w:p>
      <w:pPr>
        <w:pStyle w:val="Nivel01"/>
        <w:spacing w:lineRule="auto" w:line="360" w:before="0" w:after="0"/>
        <w:ind w:left="0" w:right="0" w:hanging="0"/>
        <w:rPr>
          <w:sz w:val="22"/>
          <w:szCs w:val="22"/>
        </w:rPr>
      </w:pPr>
      <w:r>
        <w:rPr>
          <w:sz w:val="22"/>
          <w:szCs w:val="22"/>
        </w:rPr>
        <w:t>4. DA ADESÃO À ATA DE REGISTRO DE PREÇOS</w:t>
      </w:r>
    </w:p>
    <w:p>
      <w:pPr>
        <w:pStyle w:val="Nivel01"/>
        <w:spacing w:lineRule="auto" w:line="360" w:before="0" w:after="0"/>
        <w:ind w:left="0" w:right="0" w:hanging="0"/>
        <w:rPr/>
      </w:pPr>
      <w:r>
        <w:rPr/>
      </w:r>
    </w:p>
    <w:p>
      <w:pPr>
        <w:pStyle w:val="Nivel01"/>
        <w:spacing w:lineRule="auto" w:line="360" w:before="0" w:after="0"/>
        <w:ind w:left="0" w:right="0" w:hanging="0"/>
        <w:rPr>
          <w:b w:val="false"/>
          <w:b w:val="false"/>
          <w:bCs w:val="false"/>
          <w:i w:val="false"/>
          <w:i w:val="false"/>
          <w:iCs w:val="false"/>
          <w:color w:val="000000"/>
          <w:sz w:val="22"/>
          <w:szCs w:val="22"/>
          <w:lang w:eastAsia="en-US"/>
        </w:rPr>
      </w:pPr>
      <w:r>
        <w:rPr>
          <w:b w:val="false"/>
          <w:bCs w:val="false"/>
          <w:i w:val="false"/>
          <w:iCs w:val="false"/>
          <w:color w:val="000000"/>
          <w:sz w:val="22"/>
          <w:szCs w:val="22"/>
          <w:lang w:eastAsia="en-US"/>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 xml:space="preserve">4.1.1. </w:t>
      </w:r>
      <w:r>
        <w:rPr>
          <w:i w:val="false"/>
          <w:iCs w:val="false"/>
          <w:color w:val="auto"/>
          <w:sz w:val="22"/>
          <w:szCs w:val="22"/>
        </w:rPr>
        <w:t>Apresentação de justificativa da vantagem da adesão, inclusive em situações de provável desabastecimento ou descontinuidade de serviço público;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4.1.2.</w:t>
      </w:r>
      <w:r>
        <w:rPr>
          <w:b/>
          <w:bCs/>
          <w:i w:val="false"/>
          <w:iCs w:val="false"/>
          <w:color w:val="000000"/>
          <w:sz w:val="22"/>
          <w:szCs w:val="22"/>
          <w:lang w:eastAsia="en-US"/>
        </w:rPr>
        <w:t xml:space="preserve"> </w:t>
      </w:r>
      <w:r>
        <w:rPr>
          <w:b w:val="false"/>
          <w:bCs w:val="false"/>
          <w:i w:val="false"/>
          <w:iCs w:val="false"/>
          <w:color w:val="000000"/>
          <w:sz w:val="22"/>
          <w:szCs w:val="22"/>
          <w:lang w:eastAsia="en-US"/>
        </w:rPr>
        <w:t>D</w:t>
      </w:r>
      <w:r>
        <w:rPr>
          <w:i w:val="false"/>
          <w:iCs w:val="false"/>
          <w:color w:val="auto"/>
          <w:sz w:val="22"/>
          <w:szCs w:val="22"/>
        </w:rPr>
        <w:t>emonstração de que os valores registrados estão compatíveis com os valores praticados pelo mercado na forma do art. 23 da Lei nº 14.133, de 2021;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4.1.3.</w:t>
      </w:r>
      <w:r>
        <w:rPr>
          <w:i w:val="false"/>
          <w:iCs w:val="false"/>
          <w:color w:val="auto"/>
          <w:sz w:val="22"/>
          <w:szCs w:val="22"/>
        </w:rPr>
        <w:t xml:space="preserve"> Consulta e aceitação prévias do órgão ou da entidade gerenciadora e do fornecedor.</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4.1.4.</w:t>
      </w:r>
      <w:r>
        <w:rPr>
          <w:b/>
          <w:bCs/>
          <w:i w:val="false"/>
          <w:iCs w:val="false"/>
          <w:color w:val="000000"/>
          <w:sz w:val="22"/>
          <w:szCs w:val="22"/>
          <w:lang w:eastAsia="en-US"/>
        </w:rPr>
        <w:t xml:space="preserve"> </w:t>
      </w:r>
      <w:r>
        <w:rPr>
          <w:i w:val="false"/>
          <w:iCs w:val="false"/>
          <w:color w:val="auto"/>
          <w:sz w:val="22"/>
          <w:szCs w:val="22"/>
        </w:rPr>
        <w:t>A autorização do órgão ou entidade gerenciadora apenas será realizada após a aceitação da adesão pelo fornecedor.</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4.1.5.</w:t>
      </w:r>
      <w:r>
        <w:rPr>
          <w:b/>
          <w:bCs/>
          <w:i w:val="false"/>
          <w:iCs w:val="false"/>
          <w:color w:val="000000"/>
          <w:sz w:val="22"/>
          <w:szCs w:val="22"/>
          <w:lang w:eastAsia="en-US"/>
        </w:rPr>
        <w:t xml:space="preserve"> </w:t>
      </w:r>
      <w:r>
        <w:rPr>
          <w:i w:val="false"/>
          <w:iCs w:val="false"/>
          <w:color w:val="auto"/>
          <w:sz w:val="22"/>
          <w:szCs w:val="22"/>
        </w:rPr>
        <w:t>O órgão ou entidade gerenciadora poderá rejeitar adesões caso elas possam acarretar prejuízo à execução de seus próprios contratos ou à sua capacidade de gerenciamento.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4.1.6.</w:t>
      </w:r>
      <w:r>
        <w:rPr>
          <w:i w:val="false"/>
          <w:iCs w:val="false"/>
          <w:color w:val="auto"/>
          <w:sz w:val="22"/>
          <w:szCs w:val="22"/>
        </w:rPr>
        <w:t xml:space="preserve"> Após a autorização do órgão ou da entidade gerenciadora, o órgão ou entidade não participante deverá efetivar a aquisição ou a contratação solicitada em até noventa dias, observado o prazo de vigência da ata.</w:t>
      </w:r>
    </w:p>
    <w:p>
      <w:pPr>
        <w:pStyle w:val="Nivel2"/>
        <w:numPr>
          <w:ilvl w:val="0"/>
          <w:numId w:val="0"/>
        </w:numPr>
        <w:spacing w:lineRule="auto" w:line="360" w:before="0" w:after="0"/>
        <w:ind w:left="0" w:right="0" w:hanging="0"/>
        <w:rPr>
          <w:b w:val="false"/>
          <w:b w:val="false"/>
          <w:bCs w:val="false"/>
          <w:i w:val="false"/>
          <w:i w:val="false"/>
          <w:iCs w:val="false"/>
          <w:color w:val="auto"/>
          <w:sz w:val="22"/>
          <w:szCs w:val="22"/>
          <w:lang w:eastAsia="en-US"/>
        </w:rPr>
      </w:pPr>
      <w:r>
        <w:rPr>
          <w:b w:val="false"/>
          <w:bCs w:val="false"/>
          <w:i w:val="false"/>
          <w:iCs w:val="false"/>
          <w:color w:val="auto"/>
          <w:sz w:val="22"/>
          <w:szCs w:val="22"/>
          <w:lang w:eastAsia="en-US"/>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4.1.7.</w:t>
      </w:r>
      <w:r>
        <w:rPr>
          <w:b w:val="false"/>
          <w:bCs w:val="false"/>
          <w:i w:val="false"/>
          <w:iCs w:val="false"/>
          <w:color w:val="auto"/>
          <w:sz w:val="22"/>
          <w:szCs w:val="22"/>
        </w:rPr>
        <w:t xml:space="preserve"> </w:t>
      </w:r>
      <w:r>
        <w:rPr>
          <w:i w:val="false"/>
          <w:iCs w:val="false"/>
          <w:color w:val="auto"/>
          <w:sz w:val="22"/>
          <w:szCs w:val="22"/>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4.1.8.</w:t>
      </w:r>
      <w:r>
        <w:rPr>
          <w:b/>
          <w:bCs/>
          <w:i w:val="false"/>
          <w:iCs w:val="false"/>
          <w:color w:val="000000"/>
          <w:sz w:val="22"/>
          <w:szCs w:val="22"/>
          <w:lang w:eastAsia="en-US"/>
        </w:rPr>
        <w:t xml:space="preserve"> </w:t>
      </w:r>
      <w:r>
        <w:rPr>
          <w:i w:val="false"/>
          <w:iCs w:val="false"/>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auto"/>
          <w:sz w:val="22"/>
          <w:szCs w:val="22"/>
        </w:rPr>
        <w:t xml:space="preserve">4.1.9. </w:t>
      </w:r>
      <w:r>
        <w:rPr>
          <w:i w:val="false"/>
          <w:iCs w:val="false"/>
          <w:color w:val="auto"/>
          <w:sz w:val="22"/>
          <w:szCs w:val="22"/>
        </w:rPr>
        <w:t>As aquisições ou contratações adicionais não poderão exceder, por órgão ou entidade, a cinquenta por cento dos quantitativos dos itens do instrumento convocatórios registrados na ata de registro de preços para o gerenciador e para os participantes.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4.1.10.</w:t>
      </w:r>
      <w:r>
        <w:rPr>
          <w:b/>
          <w:bCs/>
          <w:i w:val="false"/>
          <w:iCs w:val="false"/>
          <w:color w:val="000000"/>
          <w:sz w:val="22"/>
          <w:szCs w:val="22"/>
          <w:lang w:eastAsia="en-US"/>
        </w:rPr>
        <w:t xml:space="preserve"> </w:t>
      </w:r>
      <w:r>
        <w:rPr>
          <w:i w:val="false"/>
          <w:iCs w:val="false"/>
          <w:color w:val="000000"/>
          <w:sz w:val="22"/>
          <w:szCs w:val="22"/>
          <w:lang w:eastAsia="en-US"/>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rFonts w:eastAsia="Courier New" w:cs="Arial"/>
          <w:b w:val="false"/>
          <w:b w:val="false"/>
          <w:bCs w:val="false"/>
          <w:i w:val="false"/>
          <w:i w:val="false"/>
          <w:iCs w:val="false"/>
          <w:color w:val="000000"/>
          <w:kern w:val="2"/>
          <w:sz w:val="22"/>
          <w:szCs w:val="22"/>
          <w:lang w:val="pt-BR" w:eastAsia="en-US" w:bidi="ar-SA"/>
        </w:rPr>
      </w:pPr>
      <w:r>
        <w:rPr>
          <w:rFonts w:eastAsia="Courier New" w:cs="Arial"/>
          <w:b w:val="false"/>
          <w:bCs w:val="false"/>
          <w:i w:val="false"/>
          <w:iCs w:val="false"/>
          <w:color w:val="000000"/>
          <w:kern w:val="2"/>
          <w:sz w:val="22"/>
          <w:szCs w:val="22"/>
          <w:lang w:val="pt-BR" w:eastAsia="en-US" w:bidi="ar-SA"/>
        </w:rPr>
        <w:t>4.2. Vedação a acréscimo de quantitativos: É vedado efetuar acréscimos nos quantitativos fixados na ata de registro de preços.</w:t>
      </w:r>
    </w:p>
    <w:p>
      <w:pPr>
        <w:pStyle w:val="Nivel2"/>
        <w:numPr>
          <w:ilvl w:val="0"/>
          <w:numId w:val="0"/>
        </w:numPr>
        <w:spacing w:lineRule="auto" w:line="360" w:before="0" w:after="0"/>
        <w:ind w:left="0" w:right="0" w:hanging="0"/>
        <w:rPr>
          <w:rFonts w:eastAsia="Courier New" w:cs="Arial"/>
          <w:b w:val="false"/>
          <w:b w:val="false"/>
          <w:bCs w:val="false"/>
          <w:i w:val="false"/>
          <w:i w:val="false"/>
          <w:iCs w:val="false"/>
          <w:color w:val="000000"/>
          <w:kern w:val="2"/>
          <w:sz w:val="22"/>
          <w:szCs w:val="22"/>
          <w:lang w:val="pt-BR" w:eastAsia="en-US" w:bidi="ar-SA"/>
        </w:rPr>
      </w:pPr>
      <w:r>
        <w:rPr>
          <w:rFonts w:eastAsia="Courier New" w:cs="Arial"/>
          <w:b w:val="false"/>
          <w:bCs w:val="false"/>
          <w:i w:val="false"/>
          <w:iCs w:val="false"/>
          <w:color w:val="000000"/>
          <w:kern w:val="2"/>
          <w:sz w:val="22"/>
          <w:szCs w:val="22"/>
          <w:lang w:val="pt-BR" w:eastAsia="en-US" w:bidi="ar-SA"/>
        </w:rPr>
      </w:r>
    </w:p>
    <w:p>
      <w:pPr>
        <w:pStyle w:val="Nivel01"/>
        <w:spacing w:lineRule="auto" w:line="360" w:before="0" w:after="0"/>
        <w:ind w:left="0" w:right="0" w:hanging="0"/>
        <w:rPr>
          <w:sz w:val="22"/>
          <w:szCs w:val="22"/>
        </w:rPr>
      </w:pPr>
      <w:r>
        <w:rPr>
          <w:sz w:val="22"/>
          <w:szCs w:val="22"/>
        </w:rPr>
        <w:t>5. VALIDADE, FORMALIZAÇÃO DA ATA DE REGISTRO DE PREÇOS E CADASTRO RESERVA</w:t>
      </w:r>
    </w:p>
    <w:p>
      <w:pPr>
        <w:pStyle w:val="Normal"/>
        <w:spacing w:lineRule="auto" w:line="360"/>
        <w:ind w:left="0" w:right="0" w:hanging="0"/>
        <w:rPr>
          <w:sz w:val="22"/>
          <w:szCs w:val="22"/>
        </w:rPr>
      </w:pPr>
      <w:r>
        <w:rPr>
          <w:sz w:val="22"/>
          <w:szCs w:val="22"/>
        </w:rPr>
      </w:r>
    </w:p>
    <w:p>
      <w:pPr>
        <w:pStyle w:val="Nivel2"/>
        <w:numPr>
          <w:ilvl w:val="0"/>
          <w:numId w:val="0"/>
        </w:numPr>
        <w:spacing w:lineRule="auto" w:line="360" w:before="0" w:after="0"/>
        <w:ind w:left="0" w:right="0" w:hanging="0"/>
        <w:rPr/>
      </w:pPr>
      <w:r>
        <w:rPr>
          <w:sz w:val="22"/>
          <w:szCs w:val="22"/>
        </w:rPr>
        <w:t xml:space="preserve">5.1. A validade da Ata de Registro de Preços será de 1 (um) ano, contado a </w:t>
      </w:r>
      <w:r>
        <w:rPr>
          <w:color w:val="auto"/>
          <w:sz w:val="22"/>
          <w:szCs w:val="22"/>
        </w:rPr>
        <w:t xml:space="preserve">partir do primeiro dia útil subsequente à data de divulgação no PNCP, podendo ser prorrogada por igual período, mediante a anuência do fornecedor, desde que comprovado o preço vantajoso. </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5.2.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5.3. Na formalização do contrato ou do instrumento substituto deverá haver a indicação da disponibilidade dos créditos orçamentários respectivos.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sz w:val="22"/>
          <w:szCs w:val="22"/>
        </w:rPr>
        <w:t>5.4. A contratação com os fornecedores registrados na ata será formalizada pelo órgão ou pela en</w:t>
      </w:r>
      <w:r>
        <w:rPr>
          <w:rFonts w:eastAsia="Arial"/>
          <w:sz w:val="22"/>
          <w:szCs w:val="22"/>
        </w:rPr>
        <w:t>ti</w:t>
      </w:r>
      <w:r>
        <w:rPr>
          <w:sz w:val="22"/>
          <w:szCs w:val="22"/>
        </w:rPr>
        <w:t>dade interessada por intermédio da emissão de nota de empenho de despesa ou outro instrumento hábil, previsto o art. 95 da Lei nº 14.133, de 2021.</w:t>
      </w:r>
    </w:p>
    <w:p>
      <w:pPr>
        <w:pStyle w:val="Nivel2"/>
        <w:numPr>
          <w:ilvl w:val="0"/>
          <w:numId w:val="0"/>
        </w:numPr>
        <w:spacing w:lineRule="auto" w:line="360" w:before="0" w:after="0"/>
        <w:ind w:left="0" w:right="0" w:hanging="0"/>
        <w:rPr>
          <w:sz w:val="22"/>
          <w:szCs w:val="22"/>
        </w:rPr>
      </w:pPr>
      <w:r>
        <w:rPr>
          <w:sz w:val="22"/>
          <w:szCs w:val="22"/>
        </w:rPr>
        <w:t>5.5. O instrumento contratual de que trata o item 5.2. deverá ser assinado no prazo de validade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5.6. Os contratos decorrentes do sistema de registro de preços poderão ser alterados, observado o art. 124 da Lei nº 14.133, de 2021.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rFonts w:cs="Arial"/>
          <w:color w:val="000000"/>
          <w:sz w:val="22"/>
          <w:szCs w:val="22"/>
        </w:rPr>
      </w:pPr>
      <w:r>
        <w:rPr>
          <w:rFonts w:cs="Arial"/>
          <w:color w:val="000000"/>
          <w:sz w:val="22"/>
          <w:szCs w:val="22"/>
        </w:rPr>
        <w:t>5.7. Como condição para celebração do contrato, ou retirada da nota de empenho, o fornecedor registrado deverá manter as condições de habilitação consignadas neste edital, as quais serão verificadas novamente no momento da assinatura do termo.</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t>5.8. O presente edital e seus anexos e a proposta do adjudicatário serão partes integrantes da nota de empenho de despesa, a qual substituirá o instrumento de contrato.</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t>5.9. Caso o fornecedor registrado não compareça para a retirada da nota de empenho ou assinatura do instrumento contratual, estará caracterizado o descumprimento total da obrigação assumida, sujeitando a desistente às sanções legais cabíveis, especialmente as previstas neste edital de licitação, minuta de contrato e demais anexos.</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eastAsia="Arial" w:cs="Arial"/>
          <w:color w:val="000000"/>
          <w:sz w:val="22"/>
          <w:szCs w:val="22"/>
        </w:rPr>
      </w:pPr>
      <w:r>
        <w:rPr>
          <w:rFonts w:eastAsia="Arial" w:cs="Arial" w:ascii="Arial" w:hAnsi="Arial"/>
          <w:color w:val="000000"/>
          <w:sz w:val="22"/>
          <w:szCs w:val="22"/>
        </w:rPr>
        <w:t xml:space="preserve">5.10. Ocorrendo a hipótese do subitem anterior e não havendo Cadastro de Reserva, o pregoeiro realizará a reabertura do pregão, examinando as ofertas subsequentes e a qualificação dos licitantes, na ordem de classificação, até a apuração de uma que atenda e proporcione a viabilização da contratação, nas condições propostas pelo licitante vencedor. </w:t>
      </w:r>
    </w:p>
    <w:p>
      <w:pPr>
        <w:pStyle w:val="Normal"/>
        <w:spacing w:lineRule="auto" w:line="276"/>
        <w:ind w:left="0" w:right="0" w:hanging="0"/>
        <w:jc w:val="both"/>
        <w:rPr>
          <w:rFonts w:ascii="Arial" w:hAnsi="Arial"/>
          <w:sz w:val="22"/>
          <w:szCs w:val="22"/>
        </w:rPr>
      </w:pPr>
      <w:r>
        <w:rPr>
          <w:rFonts w:ascii="Arial" w:hAnsi="Arial"/>
          <w:sz w:val="22"/>
          <w:szCs w:val="22"/>
        </w:rPr>
      </w:r>
    </w:p>
    <w:p>
      <w:pPr>
        <w:pStyle w:val="Nivel2"/>
        <w:numPr>
          <w:ilvl w:val="0"/>
          <w:numId w:val="0"/>
        </w:numPr>
        <w:spacing w:lineRule="auto" w:line="360" w:before="0" w:after="0"/>
        <w:ind w:left="0" w:right="0" w:hanging="0"/>
        <w:rPr>
          <w:sz w:val="22"/>
          <w:szCs w:val="22"/>
        </w:rPr>
      </w:pPr>
      <w:r>
        <w:rPr>
          <w:sz w:val="22"/>
          <w:szCs w:val="22"/>
        </w:rPr>
        <w:t>5.11. Após a homologação da licitação ou da contratação direta, deverão ser observadas as seguintes condições para formalização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5.12. Serão registrados na ata os preços e os quantita</w:t>
      </w:r>
      <w:r>
        <w:rPr>
          <w:rFonts w:eastAsia="Arial"/>
          <w:sz w:val="22"/>
          <w:szCs w:val="22"/>
        </w:rPr>
        <w:t>ti</w:t>
      </w:r>
      <w:r>
        <w:rPr>
          <w:sz w:val="22"/>
          <w:szCs w:val="22"/>
        </w:rPr>
        <w:t>vos do adjudicatário, devendo ser observada a possibilidade de o licitante oferecer ou não proposta em quantitativo inferior ao máxi</w:t>
      </w:r>
      <w:r>
        <w:rPr>
          <w:color w:val="auto"/>
          <w:sz w:val="22"/>
          <w:szCs w:val="22"/>
        </w:rPr>
        <w:t xml:space="preserve">mo previsto </w:t>
      </w:r>
      <w:r>
        <w:rPr>
          <w:i/>
          <w:iCs/>
          <w:color w:val="auto"/>
          <w:sz w:val="22"/>
          <w:szCs w:val="22"/>
        </w:rPr>
        <w:t xml:space="preserve">no edital </w:t>
      </w:r>
      <w:r>
        <w:rPr>
          <w:color w:val="auto"/>
          <w:sz w:val="22"/>
          <w:szCs w:val="22"/>
        </w:rPr>
        <w:t>e se ob</w:t>
      </w:r>
      <w:r>
        <w:rPr>
          <w:sz w:val="22"/>
          <w:szCs w:val="22"/>
        </w:rPr>
        <w:t>rigar nos limites dela;</w:t>
      </w:r>
    </w:p>
    <w:p>
      <w:pPr>
        <w:pStyle w:val="Nvel3"/>
        <w:widowControl/>
        <w:numPr>
          <w:ilvl w:val="0"/>
          <w:numId w:val="0"/>
        </w:numPr>
        <w:suppressAutoHyphens w:val="true"/>
        <w:bidi w:val="0"/>
        <w:spacing w:lineRule="auto" w:line="276"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 Será incluído na ata, na forma de anexo, o registro dos licitantes ou dos fornecedores que:</w:t>
      </w:r>
    </w:p>
    <w:p>
      <w:pPr>
        <w:pStyle w:val="Nvel4"/>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63" w:after="63"/>
        <w:ind w:left="0" w:right="0" w:hanging="0"/>
        <w:jc w:val="both"/>
        <w:rPr>
          <w:sz w:val="22"/>
          <w:szCs w:val="22"/>
        </w:rPr>
      </w:pPr>
      <w:r>
        <w:rPr>
          <w:sz w:val="22"/>
          <w:szCs w:val="22"/>
        </w:rPr>
        <w:t xml:space="preserve">5.13.1 Aceitarem cotar os bens, as obras ou os serviços com preços iguais aos do adjudicatário, observada a classificação da licitação; e </w:t>
      </w:r>
    </w:p>
    <w:p>
      <w:pPr>
        <w:pStyle w:val="Nvel4"/>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5.13.2. Mantiverem sua proposta original.</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5.13.3. Será respeitada, nas contratações, a ordem de classificação dos licitantes ou dos fornecedores registrados na ata.</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pPr>
      <w:r>
        <w:rPr>
          <w:sz w:val="22"/>
          <w:szCs w:val="22"/>
        </w:rPr>
        <w:t>5.13.4. O registro a que se refere o item 5.10.</w:t>
      </w:r>
      <w:r>
        <w:rPr>
          <w:b/>
          <w:bCs/>
          <w:sz w:val="22"/>
          <w:szCs w:val="22"/>
        </w:rPr>
        <w:t xml:space="preserve"> </w:t>
      </w:r>
      <w:r>
        <w:rPr>
          <w:sz w:val="22"/>
          <w:szCs w:val="22"/>
        </w:rPr>
        <w:t>tem por obje</w:t>
      </w:r>
      <w:r>
        <w:rPr>
          <w:rFonts w:eastAsia="Arial"/>
          <w:sz w:val="22"/>
          <w:szCs w:val="22"/>
        </w:rPr>
        <w:t>ti</w:t>
      </w:r>
      <w:r>
        <w:rPr>
          <w:sz w:val="22"/>
          <w:szCs w:val="22"/>
        </w:rPr>
        <w:t>vo a formação de cadastro de reserva para o caso de impossibilidade de atendimento pelo signatário da ata.</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5.13.5. Para fins da ordem de classificação, os licitantes ou fornecedores que aceitarem reduzir suas propostas para o preço do adjudicatário antecederão aqueles que mantiverem sua proposta original.</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5.13.6. A habilitação dos licitantes que comporão o cadastro de reserva a que se refere o item</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5.10 somente será efetuada quando houver necessidade de contratação dos licitantes remanescentes, nas seguintes hipóteses:</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5.13.7. Quando o licitante vencedor não assinar a ata de registro de preços, no prazo e nas condições estabelecido</w:t>
      </w:r>
      <w:r>
        <w:rPr>
          <w:color w:val="auto"/>
          <w:sz w:val="22"/>
          <w:szCs w:val="22"/>
        </w:rPr>
        <w:t xml:space="preserve">s </w:t>
      </w:r>
      <w:r>
        <w:rPr>
          <w:i/>
          <w:iCs/>
          <w:color w:val="auto"/>
          <w:sz w:val="22"/>
          <w:szCs w:val="22"/>
        </w:rPr>
        <w:t>no edital;</w:t>
      </w:r>
      <w:r>
        <w:rPr>
          <w:color w:val="auto"/>
          <w:sz w:val="22"/>
          <w:szCs w:val="22"/>
        </w:rPr>
        <w:t xml:space="preserve"> e</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5.13.8. Quando houver o cancelamento do registro do licitante ou do registro de preços nas hipóteses previstas no item 5.9.</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5.13.9. O preço registrado com indicação dos licitantes e fornecedores será divulgado no PNCP e ficará disponibilizado durante a vigência da ata de registro de preços.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5.13.10. 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5.13.11. 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0"/>
          <w:numId w:val="0"/>
        </w:numPr>
        <w:spacing w:lineRule="auto" w:line="24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5.13.12. A ata de registro de preços será assinada por meio de assinatura digital e disponibilizada no Sistema de Registro de Preços.</w:t>
      </w:r>
    </w:p>
    <w:p>
      <w:pPr>
        <w:pStyle w:val="Nivel2"/>
        <w:numPr>
          <w:ilvl w:val="0"/>
          <w:numId w:val="0"/>
        </w:numPr>
        <w:spacing w:lineRule="auto" w:line="360" w:before="0" w:after="0"/>
        <w:ind w:left="0" w:right="0" w:hanging="0"/>
        <w:rPr>
          <w:sz w:val="22"/>
          <w:szCs w:val="22"/>
        </w:rPr>
      </w:pPr>
      <w:r>
        <w:rPr>
          <w:sz w:val="22"/>
          <w:szCs w:val="22"/>
        </w:rPr>
        <w:t>5.13.13. Quando o convocado não assinar a ata de registro de preços no prazo e nas condições estabelecidos no edital ou no aviso de contratação, observando o item 5.7, fica facultado à Administração convocar os licitantes remanescentes do cadastro de reserva, na ordem de classificação, para fazê-lo em igual prazo e nas condições propostas pelo primeiro classificado.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sz w:val="22"/>
          <w:szCs w:val="22"/>
        </w:rPr>
        <w:t>5.13.14. Na hipótese de nenhum dos licitantes que trata o item 5.8.2., aceitar a contratação nos termos do item anterior, a Administração, observados o valor es</w:t>
      </w:r>
      <w:r>
        <w:rPr>
          <w:rFonts w:eastAsia="Arial"/>
          <w:sz w:val="22"/>
          <w:szCs w:val="22"/>
        </w:rPr>
        <w:t>ti</w:t>
      </w:r>
      <w:r>
        <w:rPr>
          <w:sz w:val="22"/>
          <w:szCs w:val="22"/>
        </w:rPr>
        <w:t>mado e sua eventual atualização nos termos</w:t>
      </w:r>
      <w:r>
        <w:rPr>
          <w:color w:val="auto"/>
          <w:sz w:val="22"/>
          <w:szCs w:val="22"/>
        </w:rPr>
        <w:t xml:space="preserve"> </w:t>
      </w:r>
      <w:r>
        <w:rPr>
          <w:i/>
          <w:iCs/>
          <w:color w:val="auto"/>
          <w:sz w:val="22"/>
          <w:szCs w:val="22"/>
        </w:rPr>
        <w:t>do edital</w:t>
      </w:r>
      <w:r>
        <w:rPr>
          <w:color w:val="auto"/>
          <w:sz w:val="22"/>
          <w:szCs w:val="22"/>
        </w:rPr>
        <w:t>, poderá</w:t>
      </w:r>
      <w:r>
        <w:rPr>
          <w:sz w:val="22"/>
          <w:szCs w:val="22"/>
        </w:rPr>
        <w:t>:</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5.13.15. Convocar para negociação os demais licitantes ou fornecedores remanescentes cujos preços foram registrados sem redução, observada a ordem de classificação, com vistas à obtenção de preço melhor, mesmo que acima do preço do adjudicatário; ou</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5.14. Adjudicar e firmar o contrato nas condições ofertadas pelos licitantes ou fornecedores remanescentes, atendida a ordem classificatória, quando frustrada a negociação de melhor condição.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5.15.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0"/>
          <w:numId w:val="0"/>
        </w:numPr>
        <w:spacing w:lineRule="auto" w:line="360" w:before="0" w:after="0"/>
        <w:ind w:left="0" w:right="0" w:hanging="0"/>
        <w:rPr>
          <w:sz w:val="22"/>
          <w:szCs w:val="22"/>
        </w:rPr>
      </w:pPr>
      <w:r>
        <w:rPr>
          <w:sz w:val="22"/>
          <w:szCs w:val="22"/>
        </w:rPr>
      </w:r>
    </w:p>
    <w:p>
      <w:pPr>
        <w:pStyle w:val="Normal"/>
        <w:spacing w:lineRule="auto" w:line="360"/>
        <w:ind w:left="0" w:right="0" w:hanging="0"/>
        <w:jc w:val="both"/>
        <w:rPr/>
      </w:pPr>
      <w:r>
        <w:rPr>
          <w:rFonts w:cs="Arial" w:ascii="Arial" w:hAnsi="Arial"/>
          <w:color w:val="000000"/>
          <w:sz w:val="22"/>
          <w:szCs w:val="22"/>
        </w:rPr>
        <w:t xml:space="preserve">5.16. É vedada a subcontratação parcial do objeto, a associação da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Fonts w:cs="Arial" w:ascii="Arial" w:hAnsi="Arial"/>
          <w:color w:val="000000"/>
          <w:sz w:val="22"/>
          <w:szCs w:val="22"/>
        </w:rPr>
        <w:t xml:space="preserve"> com outrem, a cessão ou transferência, total ou parcial do contrato, bem como a fusão, cisão ou incorporação da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Fonts w:cs="Arial" w:ascii="Arial" w:hAnsi="Arial"/>
          <w:color w:val="000000"/>
          <w:sz w:val="22"/>
          <w:szCs w:val="22"/>
        </w:rPr>
        <w:t>, não se responsabilizando o contratante por nenhum compromisso assumido por aquela com terceiros.</w:t>
      </w:r>
      <w:r>
        <w:rPr>
          <w:rFonts w:ascii="Arial" w:hAnsi="Arial"/>
          <w:color w:val="000000"/>
          <w:sz w:val="22"/>
          <w:szCs w:val="22"/>
        </w:rPr>
        <w:t xml:space="preserve"> </w:t>
      </w:r>
    </w:p>
    <w:p>
      <w:pPr>
        <w:pStyle w:val="Nivel01"/>
        <w:spacing w:lineRule="auto" w:line="360" w:before="0" w:after="0"/>
        <w:ind w:left="0" w:right="0" w:hanging="0"/>
        <w:rPr>
          <w:sz w:val="22"/>
          <w:szCs w:val="22"/>
        </w:rPr>
      </w:pPr>
      <w:r>
        <w:rPr>
          <w:sz w:val="22"/>
          <w:szCs w:val="22"/>
        </w:rPr>
      </w:r>
    </w:p>
    <w:p>
      <w:pPr>
        <w:pStyle w:val="Nivel01"/>
        <w:spacing w:lineRule="auto" w:line="360" w:before="0" w:after="0"/>
        <w:ind w:left="0" w:right="0" w:hanging="0"/>
        <w:rPr>
          <w:sz w:val="22"/>
          <w:szCs w:val="22"/>
        </w:rPr>
      </w:pPr>
      <w:r>
        <w:rPr>
          <w:sz w:val="22"/>
          <w:szCs w:val="22"/>
        </w:rPr>
        <w:t>6. ALTERAÇÃO OU ATUALIZAÇÃO DOS PREÇOS REGISTRADOS</w:t>
      </w:r>
    </w:p>
    <w:p>
      <w:pPr>
        <w:pStyle w:val="Normal"/>
        <w:spacing w:lineRule="auto" w:line="276"/>
        <w:ind w:left="0" w:right="0" w:hanging="0"/>
        <w:rPr>
          <w:rFonts w:ascii="Arial" w:hAnsi="Arial"/>
          <w:sz w:val="22"/>
          <w:szCs w:val="22"/>
        </w:rPr>
      </w:pPr>
      <w:r>
        <w:rPr>
          <w:rFonts w:ascii="Arial" w:hAnsi="Arial"/>
          <w:sz w:val="22"/>
          <w:szCs w:val="22"/>
        </w:rPr>
      </w:r>
    </w:p>
    <w:p>
      <w:pPr>
        <w:pStyle w:val="Nivel2"/>
        <w:numPr>
          <w:ilvl w:val="0"/>
          <w:numId w:val="0"/>
        </w:numPr>
        <w:spacing w:lineRule="auto" w:line="360" w:before="0" w:after="0"/>
        <w:ind w:left="0" w:right="0" w:hanging="0"/>
        <w:rPr/>
      </w:pPr>
      <w:r>
        <w:rPr>
          <w:sz w:val="22"/>
          <w:szCs w:val="22"/>
        </w:rPr>
        <w:t>6.1. Os preços registrados poderão ser alterados ou atualizados em decorrência de eventual redução dos preços pra</w:t>
      </w:r>
      <w:r>
        <w:rPr>
          <w:rFonts w:eastAsia="Calibri"/>
          <w:sz w:val="22"/>
          <w:szCs w:val="22"/>
        </w:rPr>
        <w:t>ti</w:t>
      </w:r>
      <w:r>
        <w:rPr>
          <w:sz w:val="22"/>
          <w:szCs w:val="22"/>
        </w:rPr>
        <w:t>cados no mercado ou de fato que eleve o custo dos bens, das obras ou dos serviços registrados, nas seguintes situações:</w:t>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pPr>
      <w:r>
        <w:rPr>
          <w:sz w:val="22"/>
          <w:szCs w:val="22"/>
        </w:rPr>
        <w:t xml:space="preserve">6.2. Em caso de força maior, caso fortuito ou fato do príncipe ou em decorrência de fatos imprevisíveis ou previsíveis de consequências incalculáveis, que inviabilizem a execução da ata tal como pactuada, nos termos da </w:t>
      </w:r>
      <w:r>
        <w:rPr>
          <w:color w:val="000000"/>
          <w:sz w:val="22"/>
          <w:szCs w:val="22"/>
        </w:rPr>
        <w:t>alínea “d” do inciso II do caput do art. 124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pPr>
      <w:r>
        <w:rPr>
          <w:sz w:val="22"/>
          <w:szCs w:val="22"/>
        </w:rPr>
        <w:t>6.3. Em caso de criação, alteração ou ex</w:t>
      </w:r>
      <w:r>
        <w:rPr>
          <w:rFonts w:eastAsia="Calibri"/>
          <w:sz w:val="22"/>
          <w:szCs w:val="22"/>
        </w:rPr>
        <w:t>ti</w:t>
      </w:r>
      <w:r>
        <w:rPr>
          <w:sz w:val="22"/>
          <w:szCs w:val="22"/>
        </w:rPr>
        <w:t>nção de quaisquer tributos ou encargos legais ou a superveniência de disposições legais, com comprovada repercussão sobre os preços registrados;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6.4. Na hipótese de previsão no edital ou no aviso de contratação direta de cláusula de reajustamento ou repactuação sobre os preços registrados, nos termos da Lei nº 14.133, de 2021.</w:t>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6.5. No caso do reajustamento, deverá ser respeitada a contagem da anualidade e o índice previstos para a contratação;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6.6. No caso da repactuação, poderá ser a pedido do interessado, conforme critérios definidos para a contratação.</w:t>
      </w:r>
    </w:p>
    <w:p>
      <w:pPr>
        <w:pStyle w:val="Nivel01"/>
        <w:spacing w:lineRule="auto" w:line="360" w:before="6" w:after="6"/>
        <w:ind w:left="0" w:right="0" w:hanging="0"/>
        <w:rPr>
          <w:sz w:val="22"/>
          <w:szCs w:val="22"/>
        </w:rPr>
      </w:pPr>
      <w:r>
        <w:rPr>
          <w:sz w:val="22"/>
          <w:szCs w:val="22"/>
        </w:rPr>
      </w:r>
    </w:p>
    <w:p>
      <w:pPr>
        <w:pStyle w:val="Nivel01"/>
        <w:spacing w:lineRule="auto" w:line="360" w:before="6" w:after="6"/>
        <w:ind w:left="0" w:right="0" w:hanging="0"/>
        <w:rPr>
          <w:sz w:val="22"/>
          <w:szCs w:val="22"/>
        </w:rPr>
      </w:pPr>
      <w:r>
        <w:rPr>
          <w:sz w:val="22"/>
          <w:szCs w:val="22"/>
        </w:rPr>
        <w:t>7. NEGOCIAÇÃO DE PREÇOS REGISTRADOS</w:t>
      </w:r>
    </w:p>
    <w:p>
      <w:pPr>
        <w:pStyle w:val="Normal"/>
        <w:spacing w:lineRule="auto" w:line="240"/>
        <w:ind w:left="0" w:right="0" w:hanging="0"/>
        <w:rPr>
          <w:rFonts w:ascii="Arial" w:hAnsi="Arial"/>
          <w:sz w:val="22"/>
          <w:szCs w:val="22"/>
        </w:rPr>
      </w:pPr>
      <w:r>
        <w:rPr>
          <w:rFonts w:ascii="Arial" w:hAnsi="Arial"/>
          <w:sz w:val="22"/>
          <w:szCs w:val="22"/>
        </w:rPr>
      </w:r>
    </w:p>
    <w:p>
      <w:pPr>
        <w:pStyle w:val="Nivel2"/>
        <w:numPr>
          <w:ilvl w:val="0"/>
          <w:numId w:val="0"/>
        </w:numPr>
        <w:spacing w:lineRule="auto" w:line="360" w:before="6" w:after="6"/>
        <w:ind w:left="0" w:right="0" w:hanging="0"/>
        <w:rPr/>
      </w:pPr>
      <w:r>
        <w:rPr>
          <w:b w:val="false"/>
          <w:bCs w:val="false"/>
          <w:sz w:val="22"/>
          <w:szCs w:val="22"/>
        </w:rPr>
        <w:t>7.1.</w:t>
      </w:r>
      <w:r>
        <w:rPr>
          <w:sz w:val="22"/>
          <w:szCs w:val="22"/>
        </w:rPr>
        <w:t xml:space="preserve"> Na hipótese de o preço registrado tornar-se superior ao preço pra</w:t>
      </w:r>
      <w:r>
        <w:rPr>
          <w:rFonts w:eastAsia="Calibri"/>
          <w:sz w:val="22"/>
          <w:szCs w:val="22"/>
        </w:rPr>
        <w:t>ti</w:t>
      </w:r>
      <w:r>
        <w:rPr>
          <w:sz w:val="22"/>
          <w:szCs w:val="22"/>
        </w:rPr>
        <w:t>cado no mercado por mo</w:t>
      </w:r>
      <w:r>
        <w:rPr>
          <w:rFonts w:eastAsia="Calibri"/>
          <w:sz w:val="22"/>
          <w:szCs w:val="22"/>
        </w:rPr>
        <w:t>ti</w:t>
      </w:r>
      <w:r>
        <w:rPr>
          <w:sz w:val="22"/>
          <w:szCs w:val="22"/>
        </w:rPr>
        <w:t>vo superveniente, o órgão ou en</w:t>
      </w:r>
      <w:r>
        <w:rPr>
          <w:rFonts w:eastAsia="Calibri"/>
          <w:sz w:val="22"/>
          <w:szCs w:val="22"/>
        </w:rPr>
        <w:t>ti</w:t>
      </w:r>
      <w:r>
        <w:rPr>
          <w:sz w:val="22"/>
          <w:szCs w:val="22"/>
        </w:rPr>
        <w:t>dade gerenciadora convocará o fornecedor para negociar a redução do preço registrado.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sz w:val="22"/>
          <w:szCs w:val="22"/>
        </w:rPr>
        <w:t>7.1.1.</w:t>
      </w:r>
      <w:r>
        <w:rPr>
          <w:sz w:val="22"/>
          <w:szCs w:val="22"/>
        </w:rPr>
        <w:t xml:space="preserve"> Caso não aceite reduzir seu preço aos valores pra</w:t>
      </w:r>
      <w:r>
        <w:rPr>
          <w:rFonts w:eastAsia="Calibri"/>
          <w:sz w:val="22"/>
          <w:szCs w:val="22"/>
        </w:rPr>
        <w:t>ti</w:t>
      </w:r>
      <w:r>
        <w:rPr>
          <w:sz w:val="22"/>
          <w:szCs w:val="22"/>
        </w:rPr>
        <w:t>cados pelo mercado, o fornecedor será liberado do compromisso assumido quanto ao item registrado, sem aplicação de penalidades administrativas.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 xml:space="preserve">7.1.2. </w:t>
      </w:r>
      <w:r>
        <w:rPr>
          <w:sz w:val="22"/>
          <w:szCs w:val="22"/>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7.1.3.</w:t>
      </w:r>
      <w:r>
        <w:rPr>
          <w:sz w:val="22"/>
          <w:szCs w:val="22"/>
        </w:rPr>
        <w:t xml:space="preserve"> Se não obtiver êxito nas negociações, o órgão ou en</w:t>
      </w:r>
      <w:r>
        <w:rPr>
          <w:rFonts w:eastAsia="Calibri"/>
          <w:sz w:val="22"/>
          <w:szCs w:val="22"/>
        </w:rPr>
        <w:t>tid</w:t>
      </w:r>
      <w:r>
        <w:rPr>
          <w:sz w:val="22"/>
          <w:szCs w:val="22"/>
        </w:rPr>
        <w:t>ade gerenciadora procederá ao cancelamento da ata de registro de preços, adotando as medidas cabíveis para obtenção de contratação mais vantajosa.</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rFonts w:eastAsia="Courier New" w:cs="Calibri"/>
          <w:b w:val="false"/>
          <w:bCs w:val="false"/>
          <w:i w:val="false"/>
          <w:iCs w:val="false"/>
          <w:color w:val="000000"/>
          <w:kern w:val="2"/>
          <w:sz w:val="22"/>
          <w:szCs w:val="22"/>
          <w:lang w:val="pt-BR" w:eastAsia="en-US" w:bidi="ar-SA"/>
        </w:rPr>
        <w:t>7.1.4.</w:t>
      </w:r>
      <w:r>
        <w:rPr>
          <w:rFonts w:eastAsia="Courier New" w:cs="Calibri"/>
          <w:b/>
          <w:bCs/>
          <w:i w:val="false"/>
          <w:iCs w:val="false"/>
          <w:color w:val="000000"/>
          <w:kern w:val="2"/>
          <w:sz w:val="22"/>
          <w:szCs w:val="22"/>
          <w:lang w:val="pt-BR" w:eastAsia="en-US" w:bidi="ar-SA"/>
        </w:rPr>
        <w:t xml:space="preserve"> </w:t>
      </w:r>
      <w:r>
        <w:rPr>
          <w:rFonts w:eastAsia="Courier New" w:cs="Calibri"/>
          <w:b w:val="false"/>
          <w:bCs w:val="false"/>
          <w:i w:val="false"/>
          <w:iCs w:val="false"/>
          <w:color w:val="000000"/>
          <w:kern w:val="2"/>
          <w:sz w:val="22"/>
          <w:szCs w:val="22"/>
          <w:lang w:val="pt-BR" w:eastAsia="en-US" w:bidi="ar-SA"/>
        </w:rPr>
        <w:t>Na hipótese de</w:t>
      </w:r>
      <w:r>
        <w:rPr>
          <w:rFonts w:eastAsia="Courier New" w:cs="Arial"/>
          <w:b w:val="false"/>
          <w:bCs w:val="false"/>
          <w:i w:val="false"/>
          <w:iCs w:val="false"/>
          <w:color w:val="000000"/>
          <w:kern w:val="2"/>
          <w:sz w:val="22"/>
          <w:szCs w:val="22"/>
          <w:lang w:val="pt-BR" w:eastAsia="en-US" w:bidi="ar-SA"/>
        </w:rPr>
        <w:t xml:space="preserve"> redução do preço registrado, o gerenciador comunicará aos órgãos e às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 xml:space="preserve">dades que </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verem firmado contratos decorrentes da ata de registro de preços para que avaliem a conveniência e a oportunidade de diligenciarem negociação com vistas à alteração contratual, observado o disposto no art. 124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w:t>
      </w:r>
      <w:r>
        <w:rPr>
          <w:sz w:val="22"/>
          <w:szCs w:val="22"/>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7.2.1.</w:t>
      </w:r>
      <w:r>
        <w:rPr>
          <w:sz w:val="22"/>
          <w:szCs w:val="22"/>
        </w:rPr>
        <w:t xml:space="preserve"> Neste caso, o fornecedor encaminhará, juntamente com o pedido de alteração, a documentação comprobatória ou a planilha de custos que demonstre a inviabilidade do preço registrado em relação às condições inicialmente pactuadas.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7.2.2.</w:t>
      </w:r>
      <w:r>
        <w:rPr>
          <w:sz w:val="22"/>
          <w:szCs w:val="22"/>
        </w:rPr>
        <w:t xml:space="preserve"> Na hipótese de não comprovação da existência de fato superveniente que inviabilize o preço registrado, o pedido será indeferido pelo órgão ou en</w:t>
      </w:r>
      <w:r>
        <w:rPr>
          <w:rFonts w:eastAsia="Calibri"/>
          <w:sz w:val="22"/>
          <w:szCs w:val="22"/>
        </w:rPr>
        <w:t>ti</w:t>
      </w:r>
      <w:r>
        <w:rPr>
          <w:sz w:val="22"/>
          <w:szCs w:val="22"/>
        </w:rPr>
        <w:t xml:space="preserve">dade gerenciadora e o fornecedor deverá cumprir as obrigações estabelecidas na ata, sob pena de cancelamento do seu registro, nos termos do item </w:t>
      </w:r>
      <w:r>
        <w:rPr>
          <w:i/>
          <w:iCs/>
          <w:sz w:val="22"/>
          <w:szCs w:val="22"/>
          <w:u w:val="single"/>
          <w:shd w:fill="FFFFFF" w:val="clear"/>
        </w:rPr>
        <w:t>8.1</w:t>
      </w:r>
      <w:r>
        <w:rPr>
          <w:sz w:val="22"/>
          <w:szCs w:val="22"/>
          <w:shd w:fill="FFFFFF" w:val="clear"/>
        </w:rPr>
        <w:t>,</w:t>
      </w:r>
      <w:r>
        <w:rPr>
          <w:sz w:val="22"/>
          <w:szCs w:val="22"/>
        </w:rPr>
        <w:t xml:space="preserve"> sem prejuízo das sanções previstas na Lei nº 14.133, de 2021, e na legislação aplicável.</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7.2.3.</w:t>
      </w:r>
      <w:r>
        <w:rPr>
          <w:sz w:val="22"/>
          <w:szCs w:val="22"/>
        </w:rPr>
        <w:t xml:space="preserve"> Na hipótese de cancelamento do registro do fornecedor, nos termos do item anterior, o gerenciador convocará os fornecedores do cadastro de reserva, na ordem de classificação, para verificar se aceitam manter seus preços registrados, observado o disposto no item </w:t>
      </w:r>
      <w:r>
        <w:rPr>
          <w:i/>
          <w:iCs/>
          <w:sz w:val="22"/>
          <w:szCs w:val="22"/>
          <w:u w:val="single"/>
        </w:rPr>
        <w:t>5.7</w:t>
      </w:r>
      <w:r>
        <w:rPr>
          <w:sz w:val="22"/>
          <w:szCs w:val="22"/>
        </w:rPr>
        <w:t>.</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7.2.4.</w:t>
      </w:r>
      <w:r>
        <w:rPr>
          <w:sz w:val="22"/>
          <w:szCs w:val="22"/>
        </w:rPr>
        <w:t xml:space="preserve"> Se não obtiver êxito nas negociações, o órgão ou entidade gerenciadora procederá ao cancelamento da ata de registro de preços, nos termos do item </w:t>
      </w:r>
      <w:r>
        <w:rPr>
          <w:i/>
          <w:iCs/>
          <w:sz w:val="22"/>
          <w:szCs w:val="22"/>
          <w:u w:val="single"/>
          <w:shd w:fill="FFFFFF" w:val="clear"/>
        </w:rPr>
        <w:t>8.4</w:t>
      </w:r>
      <w:r>
        <w:rPr>
          <w:i/>
          <w:iCs/>
          <w:sz w:val="22"/>
          <w:szCs w:val="22"/>
          <w:u w:val="single"/>
        </w:rPr>
        <w:t>,</w:t>
      </w:r>
      <w:r>
        <w:rPr>
          <w:sz w:val="22"/>
          <w:szCs w:val="22"/>
        </w:rPr>
        <w:t xml:space="preserve"> e adotará as medidas cabíveis para a obtenção da contratação mais vantajosa.</w:t>
      </w:r>
    </w:p>
    <w:p>
      <w:pPr>
        <w:pStyle w:val="Nvel3"/>
        <w:widowControl/>
        <w:numPr>
          <w:ilvl w:val="0"/>
          <w:numId w:val="0"/>
        </w:numPr>
        <w:suppressAutoHyphens w:val="true"/>
        <w:bidi w:val="0"/>
        <w:spacing w:lineRule="auto" w:line="360" w:before="0" w:after="0"/>
        <w:ind w:left="0" w:right="0" w:hanging="0"/>
        <w:jc w:val="both"/>
        <w:rPr>
          <w:b w:val="false"/>
          <w:b w:val="false"/>
          <w:bCs w:val="false"/>
          <w:sz w:val="22"/>
          <w:szCs w:val="22"/>
        </w:rPr>
      </w:pPr>
      <w:r>
        <w:rPr>
          <w:b w:val="false"/>
          <w:bCs w:val="false"/>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7.2.5.</w:t>
      </w:r>
      <w:r>
        <w:rPr>
          <w:sz w:val="22"/>
          <w:szCs w:val="22"/>
        </w:rPr>
        <w:t xml:space="preserve"> Na hipótese de comprovação da majoração do preço de mercado que inviabilize o preço registrado, conforme previsto no item </w:t>
      </w:r>
      <w:r>
        <w:rPr>
          <w:i/>
          <w:iCs/>
          <w:sz w:val="22"/>
          <w:szCs w:val="22"/>
          <w:u w:val="single"/>
        </w:rPr>
        <w:t>6.1</w:t>
      </w:r>
      <w:r>
        <w:rPr>
          <w:sz w:val="22"/>
          <w:szCs w:val="22"/>
        </w:rPr>
        <w:t>, o órgão ou en</w:t>
      </w:r>
      <w:r>
        <w:rPr>
          <w:rFonts w:eastAsia="Calibri"/>
          <w:sz w:val="22"/>
          <w:szCs w:val="22"/>
        </w:rPr>
        <w:t>ti</w:t>
      </w:r>
      <w:r>
        <w:rPr>
          <w:sz w:val="22"/>
          <w:szCs w:val="22"/>
        </w:rPr>
        <w:t>dade gerenciadora atualizará o preço registrado, de acordo com a realidade dos valores praticados pelo mercado.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rFonts w:eastAsia="Courier New" w:cs="Arial"/>
          <w:b w:val="false"/>
          <w:bCs w:val="false"/>
          <w:i w:val="false"/>
          <w:iCs w:val="false"/>
          <w:color w:val="000000"/>
          <w:kern w:val="2"/>
          <w:sz w:val="22"/>
          <w:szCs w:val="22"/>
          <w:lang w:val="pt-BR" w:eastAsia="en-US" w:bidi="ar-SA"/>
        </w:rPr>
        <w:t>7.2.6. O órgão ou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dade gerenciadora comunicará aos órgãos e às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 xml:space="preserve">dades que </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verem firmado contratos decorrentes da ata de registro de preços sobre a efe</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va alteração do preço registrado, para que avaliem a necessidade de alteração contratual, observado o disposto no art. 124 da Lei nº 14.133, de 2021.</w:t>
      </w:r>
    </w:p>
    <w:p>
      <w:pPr>
        <w:pStyle w:val="Nvel3"/>
        <w:widowControl/>
        <w:numPr>
          <w:ilvl w:val="0"/>
          <w:numId w:val="0"/>
        </w:numPr>
        <w:suppressAutoHyphens w:val="true"/>
        <w:bidi w:val="0"/>
        <w:spacing w:lineRule="auto" w:line="276"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t>8. CANCELAMENTO DO REGISTRO DO LICITANTE VENCEDOR E DOS PREÇOS REGISTRADOS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8.1. O registro do fornecedor será cancelado pelo gerenciador, quando o fornecedor:</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8.2. Descumprir as condições da ata de registro de preços, sem motivo justificado;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8.3. Não re</w:t>
      </w:r>
      <w:r>
        <w:rPr>
          <w:rFonts w:eastAsia="Arial"/>
          <w:sz w:val="22"/>
          <w:szCs w:val="22"/>
        </w:rPr>
        <w:t>ti</w:t>
      </w:r>
      <w:r>
        <w:rPr>
          <w:sz w:val="22"/>
          <w:szCs w:val="22"/>
        </w:rPr>
        <w:t>rar a nota de empenho, ou instrumento equivalente, no prazo estabelecido pela Administração sem justificativa razoável;</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8.4. Não aceitar manter seu preço registrado, na hipótese prevista no artigo 30, § 5º, do Decreto Municipal nº 3845, de 2024; ou</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8.5. Sofrer sanção prevista nos incisos III ou IV do caput do art. 156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8.6.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8.7. O cancelamento de registros nas hipóteses previstas no item 8.1 será formalizado por despacho do órgão ou da entidade gerenciadora, garantidos os princípios do contraditório e da ampla defesa.</w:t>
      </w:r>
    </w:p>
    <w:p>
      <w:pPr>
        <w:pStyle w:val="Nvel3"/>
        <w:widowControl/>
        <w:numPr>
          <w:ilvl w:val="0"/>
          <w:numId w:val="0"/>
        </w:numPr>
        <w:suppressAutoHyphens w:val="true"/>
        <w:bidi w:val="0"/>
        <w:spacing w:lineRule="auto" w:line="360" w:before="285" w:after="285"/>
        <w:ind w:left="0" w:right="0" w:hanging="0"/>
        <w:jc w:val="both"/>
        <w:rPr>
          <w:sz w:val="22"/>
          <w:szCs w:val="22"/>
        </w:rPr>
      </w:pPr>
      <w:r>
        <w:rPr>
          <w:sz w:val="22"/>
          <w:szCs w:val="22"/>
        </w:rPr>
        <w:t>8.8. Na hipótese de cancelamento do registro do fornecedor, o órgão ou a entidade gerenciadora poderá convocar os licitantes que compõem o cadastro de reserva, observada a ordem de classificação.</w:t>
      </w:r>
    </w:p>
    <w:p>
      <w:pPr>
        <w:pStyle w:val="Nivel2"/>
        <w:numPr>
          <w:ilvl w:val="0"/>
          <w:numId w:val="0"/>
        </w:numPr>
        <w:spacing w:lineRule="auto" w:line="360" w:before="0" w:after="0"/>
        <w:ind w:left="0" w:right="0" w:hanging="0"/>
        <w:rPr>
          <w:sz w:val="22"/>
          <w:szCs w:val="22"/>
        </w:rPr>
      </w:pPr>
      <w:r>
        <w:rPr>
          <w:sz w:val="22"/>
          <w:szCs w:val="22"/>
        </w:rPr>
        <w:t>8.9. O cancelamento dos preços registrados poderá ser realizado pelo gerenciador, em determinada ata de registro de preços, total ou parcialmente, nas seguintes hipóteses, desde que devidamente comprovadas e justificadas:</w:t>
      </w:r>
    </w:p>
    <w:p>
      <w:pPr>
        <w:pStyle w:val="Nvel3"/>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57" w:after="57"/>
        <w:ind w:left="0" w:right="0" w:hanging="0"/>
        <w:jc w:val="both"/>
        <w:rPr>
          <w:sz w:val="22"/>
          <w:szCs w:val="22"/>
        </w:rPr>
      </w:pPr>
      <w:r>
        <w:rPr>
          <w:sz w:val="22"/>
          <w:szCs w:val="22"/>
        </w:rPr>
        <w:t>8.10. Por razão de interesse público;</w:t>
      </w:r>
    </w:p>
    <w:p>
      <w:pPr>
        <w:pStyle w:val="Nvel3"/>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57" w:after="57"/>
        <w:ind w:left="0" w:right="0" w:hanging="0"/>
        <w:jc w:val="both"/>
        <w:rPr>
          <w:sz w:val="22"/>
          <w:szCs w:val="22"/>
        </w:rPr>
      </w:pPr>
      <w:r>
        <w:rPr>
          <w:sz w:val="22"/>
          <w:szCs w:val="22"/>
        </w:rPr>
        <w:t>8.11. A pedido do fornecedor, decorrente de caso fortuito ou força maior; ou</w:t>
      </w:r>
    </w:p>
    <w:p>
      <w:pPr>
        <w:pStyle w:val="Nvel3"/>
        <w:widowControl/>
        <w:numPr>
          <w:ilvl w:val="0"/>
          <w:numId w:val="0"/>
        </w:numPr>
        <w:suppressAutoHyphens w:val="true"/>
        <w:bidi w:val="0"/>
        <w:spacing w:lineRule="auto" w:line="240" w:before="57" w:after="57"/>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8.12. Se não houver êxito nas negociações, nas hipóteses em que o preço de mercado tornar-se superior ou inferior ao preço registrado, nos termos do artigo 30, § 8º do Decreto nº 3845, de 2024.</w:t>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t>9. DAS PENALIDADES</w:t>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9.1. O descumprimento da Ata de Registro de Preços ensejará aplicação das penalidades estabe</w:t>
      </w:r>
      <w:r>
        <w:rPr>
          <w:color w:val="auto"/>
          <w:sz w:val="22"/>
          <w:szCs w:val="22"/>
        </w:rPr>
        <w:t xml:space="preserve">lecidas </w:t>
      </w:r>
      <w:r>
        <w:rPr>
          <w:i/>
          <w:color w:val="auto"/>
          <w:sz w:val="22"/>
          <w:szCs w:val="22"/>
        </w:rPr>
        <w:t>no edital.</w:t>
      </w:r>
    </w:p>
    <w:p>
      <w:pPr>
        <w:pStyle w:val="Nvel3"/>
        <w:widowControl/>
        <w:numPr>
          <w:ilvl w:val="0"/>
          <w:numId w:val="0"/>
        </w:numPr>
        <w:suppressAutoHyphens w:val="true"/>
        <w:bidi w:val="0"/>
        <w:spacing w:lineRule="auto" w:line="360" w:before="0" w:after="0"/>
        <w:ind w:left="0" w:right="0" w:hanging="0"/>
        <w:jc w:val="both"/>
        <w:rPr>
          <w:i/>
          <w:i/>
          <w:color w:val="auto"/>
          <w:sz w:val="22"/>
          <w:szCs w:val="22"/>
        </w:rPr>
      </w:pPr>
      <w:r>
        <w:rPr>
          <w:i/>
          <w:color w:val="auto"/>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9.2. As sanções também se aplicam aos integrantes do cadastro de reserva no registro de preços que, convocados, não honrarem o compromisso assumido injustificadamente após terem assinado a ata.</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9.3. É da competência do gerenciador a aplicação das penalidades decorrentes do descumprimento do pactuado nesta ata de registro de preço  exceto nas hipóteses em que o descumprimento disser respeito às contratações dos órgãos ou entidade participante, caso no qual caberá ao respectivo órgão participante a aplicação da penalidades.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9.4. O órgão ou entidade participante deverá comunicar ao órgão gerenciador qualquer das ocorrências previstas no item 9.1, dada a necessidade de instauração de procedimento para cancelamento do registro do fornecedor.</w:t>
      </w:r>
    </w:p>
    <w:p>
      <w:pPr>
        <w:pStyle w:val="Nvel3"/>
        <w:widowControl/>
        <w:numPr>
          <w:ilvl w:val="0"/>
          <w:numId w:val="0"/>
        </w:numPr>
        <w:suppressAutoHyphens w:val="true"/>
        <w:bidi w:val="0"/>
        <w:spacing w:lineRule="auto" w:line="360" w:before="0" w:after="0"/>
        <w:ind w:left="0" w:right="0" w:hanging="0"/>
        <w:jc w:val="both"/>
        <w:rPr>
          <w:rFonts w:ascii="Arial" w:hAnsi="Arial" w:cs="Arial"/>
          <w:color w:val="000000"/>
          <w:sz w:val="22"/>
          <w:szCs w:val="22"/>
          <w:shd w:fill="auto" w:val="clear"/>
        </w:rPr>
      </w:pPr>
      <w:r>
        <w:rPr>
          <w:rFonts w:cs="Arial"/>
          <w:color w:val="000000"/>
          <w:sz w:val="22"/>
          <w:szCs w:val="22"/>
          <w:shd w:fill="auto" w:val="clear"/>
        </w:rPr>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t>9.5. Decorridos 20 (vinte) dias da convocação para assinatura do Contrato ou da ata de registro de preço (ou retirada/aceite de empenho ou instrumento equivalente), sem a manifestação do adjudicatário, ficará configurada a referida recusa, sujeitando-o a multa moratória de 0,5% por dia de atraso injustificado, com base no valor adjudicado, na forma prevista no termo de referência, além da aplicação do Impedimento de Licitar e Contratar pelo período de até 3 (três) anos.</w:t>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t>9.6. Sem prejuízo da aplicação das sanções previstas no Edital e no Instrumento Contratual, a signatária da Ata de Registro de Preços/Contratada estará sujeita a multas no caso da ocorrência das situações correlacionadas e graduadas adiante, relacionadas especificamente a efetiva execução do objeto, relevadas possíveis justificativas que possam ser apresentadas por parte da contratada.</w:t>
      </w:r>
    </w:p>
    <w:p>
      <w:pPr>
        <w:pStyle w:val="Nvel3"/>
        <w:widowControl/>
        <w:numPr>
          <w:ilvl w:val="0"/>
          <w:numId w:val="0"/>
        </w:numPr>
        <w:suppressAutoHyphens w:val="true"/>
        <w:bidi w:val="0"/>
        <w:spacing w:lineRule="auto" w:line="360" w:before="0" w:after="0"/>
        <w:ind w:left="0" w:right="0" w:hanging="0"/>
        <w:jc w:val="both"/>
        <w:rPr>
          <w:rFonts w:ascii="Arial" w:hAnsi="Arial" w:cs="Arial"/>
          <w:color w:val="000000"/>
          <w:sz w:val="22"/>
          <w:szCs w:val="22"/>
          <w:shd w:fill="auto" w:val="clear"/>
        </w:rPr>
      </w:pPr>
      <w:r>
        <w:rPr>
          <w:rFonts w:cs="Arial"/>
          <w:color w:val="000000"/>
          <w:sz w:val="22"/>
          <w:szCs w:val="22"/>
          <w:shd w:fill="auto" w:val="clear"/>
        </w:rPr>
      </w:r>
    </w:p>
    <w:p>
      <w:pPr>
        <w:pStyle w:val="Normal"/>
        <w:jc w:val="both"/>
        <w:rPr>
          <w:sz w:val="20"/>
          <w:szCs w:val="20"/>
        </w:rPr>
      </w:pPr>
      <w:r>
        <w:rPr>
          <w:sz w:val="20"/>
          <w:szCs w:val="20"/>
        </w:rPr>
        <w:drawing>
          <wp:anchor behindDoc="0" distT="0" distB="0" distL="0" distR="0" simplePos="0" locked="0" layoutInCell="0" allowOverlap="1" relativeHeight="54">
            <wp:simplePos x="0" y="0"/>
            <wp:positionH relativeFrom="column">
              <wp:align>center</wp:align>
            </wp:positionH>
            <wp:positionV relativeFrom="paragraph">
              <wp:posOffset>635</wp:posOffset>
            </wp:positionV>
            <wp:extent cx="5233670" cy="4002405"/>
            <wp:effectExtent l="0" t="0" r="0" b="0"/>
            <wp:wrapSquare wrapText="largest"/>
            <wp:docPr id="1"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3" descr=""/>
                    <pic:cNvPicPr>
                      <a:picLocks noChangeAspect="1" noChangeArrowheads="1"/>
                    </pic:cNvPicPr>
                  </pic:nvPicPr>
                  <pic:blipFill>
                    <a:blip r:embed="rId2"/>
                    <a:stretch>
                      <a:fillRect/>
                    </a:stretch>
                  </pic:blipFill>
                  <pic:spPr bwMode="auto">
                    <a:xfrm>
                      <a:off x="0" y="0"/>
                      <a:ext cx="5233670" cy="4002405"/>
                    </a:xfrm>
                    <a:prstGeom prst="rect">
                      <a:avLst/>
                    </a:prstGeom>
                  </pic:spPr>
                </pic:pic>
              </a:graphicData>
            </a:graphic>
          </wp:anchor>
        </w:drawing>
      </w:r>
    </w:p>
    <w:p>
      <w:pPr>
        <w:pStyle w:val="Normal"/>
        <w:jc w:val="both"/>
        <w:rPr>
          <w:rFonts w:ascii="Arial" w:hAnsi="Arial" w:cs="Arial"/>
          <w:color w:val="C9211E"/>
          <w:sz w:val="20"/>
          <w:szCs w:val="20"/>
        </w:rPr>
      </w:pPr>
      <w:r>
        <w:rPr>
          <w:rFonts w:cs="Arial" w:ascii="Arial" w:hAnsi="Arial"/>
          <w:color w:val="C9211E"/>
          <w:sz w:val="20"/>
          <w:szCs w:val="20"/>
        </w:rPr>
      </w:r>
    </w:p>
    <w:p>
      <w:pPr>
        <w:pStyle w:val="Normal"/>
        <w:jc w:val="both"/>
        <w:rPr>
          <w:rFonts w:ascii="Arial" w:hAnsi="Arial" w:cs="Arial"/>
          <w:color w:val="C9211E"/>
          <w:sz w:val="20"/>
          <w:szCs w:val="20"/>
        </w:rPr>
      </w:pPr>
      <w:r>
        <w:rPr>
          <w:rFonts w:cs="Arial" w:ascii="Arial" w:hAnsi="Arial"/>
          <w:color w:val="C9211E"/>
          <w:sz w:val="20"/>
          <w:szCs w:val="20"/>
        </w:rPr>
      </w:r>
    </w:p>
    <w:p>
      <w:pPr>
        <w:pStyle w:val="Normal"/>
        <w:spacing w:lineRule="auto" w:line="360"/>
        <w:jc w:val="both"/>
        <w:rPr>
          <w:rFonts w:ascii="Arial" w:hAnsi="Arial" w:cs="Arial"/>
          <w:color w:val="000000"/>
        </w:rPr>
      </w:pPr>
      <w:r>
        <w:rPr>
          <w:rFonts w:cs="Arial" w:ascii="Arial" w:hAnsi="Arial"/>
          <w:color w:val="000000"/>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t>9.7. Na aplicação da sanção de multa será facultada a defesa do interessado no prazo de 15 (quinze) dias úteis, contado da data de sua intimação.</w:t>
      </w:r>
    </w:p>
    <w:p>
      <w:pPr>
        <w:pStyle w:val="Normal"/>
        <w:spacing w:lineRule="auto" w:line="360"/>
        <w:jc w:val="both"/>
        <w:rPr>
          <w:sz w:val="22"/>
          <w:szCs w:val="22"/>
        </w:rPr>
      </w:pPr>
      <w:r>
        <w:rPr>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t>9.8. A aplicação de qualquer das penalidades previstas realizar-se-á em processo administrativo que assegurará o contraditório e a ampla defesa ao licitante/adjudicatário, observando-se os procedimentos previstos na Lei Federal nº 14.133/2021.</w:t>
      </w:r>
    </w:p>
    <w:p>
      <w:pPr>
        <w:pStyle w:val="Normal"/>
        <w:spacing w:lineRule="auto" w:line="360"/>
        <w:jc w:val="both"/>
        <w:rPr>
          <w:sz w:val="22"/>
          <w:szCs w:val="22"/>
        </w:rPr>
      </w:pPr>
      <w:r>
        <w:rPr>
          <w:sz w:val="22"/>
          <w:szCs w:val="22"/>
        </w:rPr>
      </w:r>
    </w:p>
    <w:p>
      <w:pPr>
        <w:pStyle w:val="Normal"/>
        <w:spacing w:lineRule="auto" w:line="360"/>
        <w:jc w:val="both"/>
        <w:rPr>
          <w:sz w:val="22"/>
          <w:szCs w:val="22"/>
        </w:rPr>
      </w:pPr>
      <w:r>
        <w:rPr>
          <w:rFonts w:cs="Arial" w:ascii="Arial" w:hAnsi="Arial"/>
          <w:color w:val="000000"/>
          <w:sz w:val="22"/>
          <w:szCs w:val="22"/>
        </w:rPr>
        <w:t>9.9. As penalidades aplicadas serão obrigatoriamente registradas no Cadastro Nacional de Empresas Inidôneas e Suspensas (CEIS) e no Cadastro Nacional de Empresas Punidas (CNEP), conforme previsto no artigo 161 na Lei Federal nº 14.133/2021.</w:t>
      </w:r>
    </w:p>
    <w:p>
      <w:pPr>
        <w:pStyle w:val="Normal"/>
        <w:spacing w:lineRule="auto" w:line="360"/>
        <w:jc w:val="both"/>
        <w:rPr>
          <w:sz w:val="22"/>
          <w:szCs w:val="22"/>
        </w:rPr>
      </w:pPr>
      <w:r>
        <w:rPr>
          <w:sz w:val="22"/>
          <w:szCs w:val="22"/>
        </w:rPr>
      </w:r>
    </w:p>
    <w:p>
      <w:pPr>
        <w:pStyle w:val="Normal"/>
        <w:spacing w:lineRule="auto" w:line="360" w:before="0" w:after="0"/>
        <w:jc w:val="both"/>
        <w:rPr>
          <w:rFonts w:ascii="Arial" w:hAnsi="Arial" w:cs="Arial"/>
          <w:color w:val="000000"/>
          <w:sz w:val="22"/>
          <w:szCs w:val="22"/>
        </w:rPr>
      </w:pPr>
      <w:r>
        <w:rPr>
          <w:rFonts w:cs="Arial" w:ascii="Arial" w:hAnsi="Arial"/>
          <w:color w:val="000000"/>
          <w:sz w:val="22"/>
          <w:szCs w:val="22"/>
        </w:rPr>
        <w:t>9.10. As sanções administrativas aplicáveis por atos praticados no decorrer da execução contratual estão previstas no Termo de Referência e/ou na Minuta do Contrato, que constituem anexos deste Edital de Licitação</w:t>
      </w:r>
    </w:p>
    <w:p>
      <w:pPr>
        <w:pStyle w:val="Normal"/>
        <w:spacing w:lineRule="auto" w:line="360"/>
        <w:jc w:val="both"/>
        <w:rPr>
          <w:rFonts w:ascii="Arial" w:hAnsi="Arial"/>
          <w:b/>
          <w:b/>
          <w:bCs/>
          <w:sz w:val="22"/>
          <w:szCs w:val="22"/>
        </w:rPr>
      </w:pPr>
      <w:r>
        <w:rPr>
          <w:rFonts w:ascii="Arial" w:hAnsi="Arial"/>
          <w:b/>
          <w:bCs/>
          <w:sz w:val="22"/>
          <w:szCs w:val="22"/>
        </w:rPr>
      </w:r>
    </w:p>
    <w:p>
      <w:pPr>
        <w:pStyle w:val="Normal"/>
        <w:spacing w:lineRule="auto" w:line="360"/>
        <w:jc w:val="both"/>
        <w:rPr>
          <w:rFonts w:ascii="Arial" w:hAnsi="Arial"/>
          <w:b/>
          <w:b/>
          <w:bCs/>
          <w:sz w:val="22"/>
          <w:szCs w:val="22"/>
        </w:rPr>
      </w:pPr>
      <w:r>
        <w:rPr>
          <w:rFonts w:ascii="Arial" w:hAnsi="Arial"/>
          <w:b/>
          <w:bCs/>
          <w:sz w:val="22"/>
          <w:szCs w:val="22"/>
        </w:rPr>
      </w:r>
    </w:p>
    <w:p>
      <w:pPr>
        <w:pStyle w:val="Normal"/>
        <w:spacing w:lineRule="auto" w:line="360"/>
        <w:jc w:val="both"/>
        <w:rPr>
          <w:rFonts w:ascii="Arial" w:hAnsi="Arial"/>
          <w:b/>
          <w:b/>
          <w:bCs/>
          <w:sz w:val="22"/>
          <w:szCs w:val="22"/>
        </w:rPr>
      </w:pPr>
      <w:r>
        <w:rPr>
          <w:rFonts w:ascii="Arial" w:hAnsi="Arial"/>
          <w:b/>
          <w:bCs/>
          <w:sz w:val="22"/>
          <w:szCs w:val="22"/>
        </w:rPr>
      </w:r>
    </w:p>
    <w:p>
      <w:pPr>
        <w:pStyle w:val="Normal"/>
        <w:spacing w:lineRule="auto" w:line="360"/>
        <w:jc w:val="both"/>
        <w:rPr>
          <w:rFonts w:ascii="Arial" w:hAnsi="Arial"/>
          <w:b/>
          <w:b/>
          <w:bCs/>
          <w:sz w:val="22"/>
          <w:szCs w:val="22"/>
        </w:rPr>
      </w:pPr>
      <w:r>
        <w:rPr>
          <w:rFonts w:ascii="Arial" w:hAnsi="Arial"/>
          <w:b/>
          <w:bCs/>
          <w:sz w:val="22"/>
          <w:szCs w:val="22"/>
        </w:rPr>
        <w:t>10. GESTÃO E FISCALIZAÇÃO DA ATA DE REGISTRO DE PREÇOS</w:t>
      </w:r>
    </w:p>
    <w:p>
      <w:pPr>
        <w:pStyle w:val="Normal"/>
        <w:spacing w:lineRule="auto" w:line="360"/>
        <w:jc w:val="both"/>
        <w:rPr>
          <w:sz w:val="20"/>
          <w:szCs w:val="20"/>
        </w:rPr>
      </w:pPr>
      <w:r>
        <w:rPr>
          <w:sz w:val="20"/>
          <w:szCs w:val="20"/>
        </w:rPr>
      </w:r>
    </w:p>
    <w:p>
      <w:pPr>
        <w:pStyle w:val="Normal"/>
        <w:spacing w:lineRule="auto" w:line="360"/>
        <w:jc w:val="both"/>
        <w:rPr/>
      </w:pPr>
      <w:r>
        <w:rPr>
          <w:rFonts w:ascii="Arial" w:hAnsi="Arial"/>
          <w:b w:val="false"/>
          <w:bCs w:val="false"/>
          <w:sz w:val="22"/>
          <w:szCs w:val="22"/>
        </w:rPr>
        <w:t>10.1.</w:t>
      </w:r>
      <w:r>
        <w:rPr>
          <w:rFonts w:ascii="Arial" w:hAnsi="Arial"/>
          <w:b/>
          <w:bCs/>
          <w:sz w:val="22"/>
          <w:szCs w:val="22"/>
        </w:rPr>
        <w:t xml:space="preserve"> </w:t>
      </w:r>
      <w:r>
        <w:rPr>
          <w:rFonts w:ascii="Arial" w:hAnsi="Arial"/>
          <w:sz w:val="22"/>
          <w:szCs w:val="22"/>
        </w:rPr>
        <w:t>Caberá ao servidor designados abaixo a GESTÃO da ATA, por intermédio do acompanhamento da execução da contratação, inclusive suas prorrogações e aditamentos, quando for o caso, objetivando a verificação e controle de valores e quantitativos, cumprimento de metas e dos prazos legais e convencionais, bem como de outros elementos necessários à boa execução da contratação, nos termos do artigo 60 do Decreto municipal 3841/2024.</w:t>
      </w:r>
    </w:p>
    <w:p>
      <w:pPr>
        <w:pStyle w:val="Normal"/>
        <w:spacing w:lineRule="auto" w:line="360"/>
        <w:jc w:val="both"/>
        <w:rPr>
          <w:rFonts w:ascii="Arial" w:hAnsi="Arial"/>
          <w:sz w:val="22"/>
          <w:szCs w:val="22"/>
        </w:rPr>
      </w:pPr>
      <w:r>
        <w:rPr>
          <w:rFonts w:ascii="Arial" w:hAnsi="Arial"/>
          <w:sz w:val="22"/>
          <w:szCs w:val="22"/>
        </w:rPr>
      </w:r>
    </w:p>
    <w:tbl>
      <w:tblPr>
        <w:tblW w:w="5000" w:type="pct"/>
        <w:jc w:val="left"/>
        <w:tblInd w:w="55" w:type="dxa"/>
        <w:tblLayout w:type="fixed"/>
        <w:tblCellMar>
          <w:top w:w="55" w:type="dxa"/>
          <w:left w:w="55" w:type="dxa"/>
          <w:bottom w:w="55" w:type="dxa"/>
          <w:right w:w="55" w:type="dxa"/>
        </w:tblCellMar>
      </w:tblPr>
      <w:tblGrid>
        <w:gridCol w:w="2208"/>
        <w:gridCol w:w="2498"/>
        <w:gridCol w:w="3335"/>
        <w:gridCol w:w="1596"/>
      </w:tblGrid>
      <w:tr>
        <w:trPr/>
        <w:tc>
          <w:tcPr>
            <w:tcW w:w="9637" w:type="dxa"/>
            <w:gridSpan w:val="4"/>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FUNDO MUNICIPAL DE SAÚDE (FMS)</w:t>
            </w:r>
          </w:p>
        </w:tc>
      </w:tr>
      <w:tr>
        <w:trPr/>
        <w:tc>
          <w:tcPr>
            <w:tcW w:w="2208"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FUNÇÃO</w:t>
            </w:r>
          </w:p>
        </w:tc>
        <w:tc>
          <w:tcPr>
            <w:tcW w:w="2498"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ATRIBUIÇÃO</w:t>
            </w:r>
          </w:p>
        </w:tc>
        <w:tc>
          <w:tcPr>
            <w:tcW w:w="3335"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NOME</w:t>
            </w:r>
          </w:p>
        </w:tc>
        <w:tc>
          <w:tcPr>
            <w:tcW w:w="1596" w:type="dxa"/>
            <w:tcBorders>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MATRÍCULA</w:t>
            </w:r>
          </w:p>
        </w:tc>
      </w:tr>
      <w:tr>
        <w:trPr/>
        <w:tc>
          <w:tcPr>
            <w:tcW w:w="2208"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Gestor</w:t>
            </w:r>
          </w:p>
        </w:tc>
        <w:tc>
          <w:tcPr>
            <w:tcW w:w="2498"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Recebimento Definitivo</w:t>
            </w:r>
          </w:p>
        </w:tc>
        <w:tc>
          <w:tcPr>
            <w:tcW w:w="3335"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c>
          <w:tcPr>
            <w:tcW w:w="1596"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r>
    </w:tbl>
    <w:p>
      <w:pPr>
        <w:pStyle w:val="Normal"/>
        <w:spacing w:before="57" w:after="57"/>
        <w:jc w:val="both"/>
        <w:rPr>
          <w:sz w:val="22"/>
          <w:szCs w:val="22"/>
        </w:rPr>
      </w:pPr>
      <w:r>
        <w:rPr>
          <w:sz w:val="22"/>
          <w:szCs w:val="22"/>
        </w:rPr>
      </w:r>
    </w:p>
    <w:p>
      <w:pPr>
        <w:pStyle w:val="Normal"/>
        <w:spacing w:lineRule="auto" w:line="360"/>
        <w:jc w:val="both"/>
        <w:rPr/>
      </w:pPr>
      <w:r>
        <w:rPr>
          <w:rFonts w:ascii="Arial" w:hAnsi="Arial"/>
          <w:b w:val="false"/>
          <w:bCs w:val="false"/>
          <w:sz w:val="22"/>
          <w:szCs w:val="22"/>
        </w:rPr>
        <w:t>10.2.</w:t>
      </w:r>
      <w:r>
        <w:rPr>
          <w:rFonts w:ascii="Arial" w:hAnsi="Arial"/>
          <w:b/>
          <w:bCs/>
          <w:sz w:val="22"/>
          <w:szCs w:val="22"/>
        </w:rPr>
        <w:t xml:space="preserve"> </w:t>
      </w:r>
      <w:r>
        <w:rPr>
          <w:rFonts w:ascii="Arial" w:hAnsi="Arial"/>
          <w:sz w:val="22"/>
          <w:szCs w:val="22"/>
        </w:rPr>
        <w:t>Caberá ao servidor designado abaixo a FISCALIZAÇÃO da ATA, ficando responsável pelo recebimento, devendo acompanhar e anotar em registro próprio todas as ocorrências relacionadas com a execução do contrato, determinando o que for necessário à regularização de falhas e/ou defeitos observados, de forma a assegurar o perfeito cumprimento do objeto, nos termos do artigo 61 do Decreto municipal 3841/2024.</w:t>
      </w:r>
    </w:p>
    <w:p>
      <w:pPr>
        <w:pStyle w:val="Normal"/>
        <w:jc w:val="both"/>
        <w:rPr>
          <w:rFonts w:ascii="Arial" w:hAnsi="Arial" w:cs="Arial"/>
          <w:color w:val="C9211E"/>
          <w:sz w:val="22"/>
          <w:szCs w:val="22"/>
        </w:rPr>
      </w:pPr>
      <w:r>
        <w:rPr>
          <w:rFonts w:cs="Arial" w:ascii="Arial" w:hAnsi="Arial"/>
          <w:color w:val="C9211E"/>
          <w:sz w:val="22"/>
          <w:szCs w:val="22"/>
        </w:rPr>
      </w:r>
    </w:p>
    <w:tbl>
      <w:tblPr>
        <w:tblW w:w="5000" w:type="pct"/>
        <w:jc w:val="left"/>
        <w:tblInd w:w="55" w:type="dxa"/>
        <w:tblLayout w:type="fixed"/>
        <w:tblCellMar>
          <w:top w:w="55" w:type="dxa"/>
          <w:left w:w="55" w:type="dxa"/>
          <w:bottom w:w="55" w:type="dxa"/>
          <w:right w:w="55" w:type="dxa"/>
        </w:tblCellMar>
      </w:tblPr>
      <w:tblGrid>
        <w:gridCol w:w="2259"/>
        <w:gridCol w:w="2437"/>
        <w:gridCol w:w="3457"/>
        <w:gridCol w:w="1484"/>
      </w:tblGrid>
      <w:tr>
        <w:trPr/>
        <w:tc>
          <w:tcPr>
            <w:tcW w:w="9637" w:type="dxa"/>
            <w:gridSpan w:val="4"/>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FUNDO MUNICIPAL DE SAÚDE (FMS)</w:t>
            </w:r>
          </w:p>
        </w:tc>
      </w:tr>
      <w:tr>
        <w:trPr/>
        <w:tc>
          <w:tcPr>
            <w:tcW w:w="2259"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FUNÇÃO</w:t>
            </w:r>
          </w:p>
        </w:tc>
        <w:tc>
          <w:tcPr>
            <w:tcW w:w="2437"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ATRIBUIÇÃO</w:t>
            </w:r>
          </w:p>
        </w:tc>
        <w:tc>
          <w:tcPr>
            <w:tcW w:w="3457"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NOME</w:t>
            </w:r>
          </w:p>
        </w:tc>
        <w:tc>
          <w:tcPr>
            <w:tcW w:w="1484" w:type="dxa"/>
            <w:tcBorders>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MATRÍCULA</w:t>
            </w:r>
          </w:p>
        </w:tc>
      </w:tr>
      <w:tr>
        <w:trPr/>
        <w:tc>
          <w:tcPr>
            <w:tcW w:w="2259"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Fiscal Técnico</w:t>
            </w:r>
          </w:p>
        </w:tc>
        <w:tc>
          <w:tcPr>
            <w:tcW w:w="243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Recebimento Provisório</w:t>
            </w:r>
          </w:p>
        </w:tc>
        <w:tc>
          <w:tcPr>
            <w:tcW w:w="345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c>
          <w:tcPr>
            <w:tcW w:w="1484"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r>
    </w:tbl>
    <w:p>
      <w:pPr>
        <w:pStyle w:val="Normal"/>
        <w:jc w:val="both"/>
        <w:rPr>
          <w:rFonts w:ascii="Arial" w:hAnsi="Arial" w:cs="Arial"/>
          <w:b/>
          <w:b/>
          <w:bCs/>
          <w:color w:val="auto"/>
          <w:sz w:val="22"/>
          <w:szCs w:val="22"/>
        </w:rPr>
      </w:pPr>
      <w:r>
        <w:rPr>
          <w:rFonts w:cs="Arial" w:ascii="Arial" w:hAnsi="Arial"/>
          <w:b/>
          <w:bCs/>
          <w:color w:val="auto"/>
          <w:sz w:val="22"/>
          <w:szCs w:val="22"/>
        </w:rPr>
        <w:t xml:space="preserve"> </w:t>
      </w:r>
    </w:p>
    <w:p>
      <w:pPr>
        <w:pStyle w:val="Normal"/>
        <w:jc w:val="both"/>
        <w:rPr>
          <w:rFonts w:ascii="Arial" w:hAnsi="Arial" w:cs="Arial"/>
          <w:b/>
          <w:b/>
          <w:bCs/>
          <w:color w:val="auto"/>
          <w:sz w:val="22"/>
          <w:szCs w:val="22"/>
        </w:rPr>
      </w:pPr>
      <w:r>
        <w:rPr>
          <w:rFonts w:cs="Arial" w:ascii="Arial" w:hAnsi="Arial"/>
          <w:b/>
          <w:bCs/>
          <w:color w:val="auto"/>
          <w:sz w:val="22"/>
          <w:szCs w:val="22"/>
        </w:rPr>
      </w:r>
    </w:p>
    <w:p>
      <w:pPr>
        <w:pStyle w:val="Normal"/>
        <w:spacing w:lineRule="auto" w:line="360"/>
        <w:jc w:val="both"/>
        <w:rPr>
          <w:rFonts w:ascii="Arial" w:hAnsi="Arial" w:cs="Arial"/>
          <w:b/>
          <w:b/>
          <w:bCs/>
          <w:color w:val="auto"/>
          <w:sz w:val="22"/>
          <w:szCs w:val="22"/>
        </w:rPr>
      </w:pPr>
      <w:r>
        <w:rPr>
          <w:rFonts w:cs="Arial" w:ascii="Arial" w:hAnsi="Arial"/>
          <w:b/>
          <w:bCs/>
          <w:color w:val="auto"/>
          <w:sz w:val="22"/>
          <w:szCs w:val="22"/>
        </w:rPr>
        <w:t>11. SUSTENTABILIDADE</w:t>
      </w:r>
    </w:p>
    <w:p>
      <w:pPr>
        <w:pStyle w:val="Default"/>
        <w:spacing w:lineRule="auto" w:line="360"/>
        <w:rPr>
          <w:rFonts w:ascii="Arial" w:hAnsi="Arial" w:eastAsia="Arial" w:cs="Arial"/>
          <w:b/>
          <w:b/>
          <w:bCs/>
          <w:color w:val="auto"/>
          <w:sz w:val="22"/>
          <w:szCs w:val="22"/>
        </w:rPr>
      </w:pPr>
      <w:r>
        <w:rPr>
          <w:rFonts w:eastAsia="Arial" w:cs="Arial" w:ascii="Arial" w:hAnsi="Arial"/>
          <w:b/>
          <w:bCs/>
          <w:color w:val="auto"/>
          <w:sz w:val="22"/>
          <w:szCs w:val="22"/>
        </w:rPr>
      </w:r>
    </w:p>
    <w:p>
      <w:pPr>
        <w:pStyle w:val="Normal"/>
        <w:spacing w:lineRule="auto" w:line="360"/>
        <w:jc w:val="both"/>
        <w:rPr>
          <w:sz w:val="22"/>
          <w:szCs w:val="22"/>
        </w:rPr>
      </w:pPr>
      <w:r>
        <w:rPr>
          <w:rFonts w:cs="Arial" w:ascii="Arial" w:hAnsi="Arial"/>
          <w:color w:val="auto"/>
          <w:sz w:val="22"/>
          <w:szCs w:val="22"/>
        </w:rPr>
        <w:t xml:space="preserve">11.1.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xml:space="preserve">ADJUDICATÁRIA </w:t>
      </w:r>
      <w:r>
        <w:rPr>
          <w:rFonts w:cs="Arial" w:ascii="Arial" w:hAnsi="Arial"/>
          <w:color w:val="auto"/>
          <w:sz w:val="22"/>
          <w:szCs w:val="22"/>
        </w:rPr>
        <w:t>deverá cumprir as orientações da Instrução Normativa nº 1, de 19 de janeiro de 2010, do Ministério do Planejamento, Desenvolvimento e Gestão (MPDG), referente aos critérios de Sustentabilidade Ambiental, em seus artigos 5º e 6º, no que couber, além de observar todas as condições específicas previstas no termo de referência.</w:t>
      </w:r>
    </w:p>
    <w:p>
      <w:pPr>
        <w:pStyle w:val="Normal"/>
        <w:spacing w:lineRule="auto" w:line="360"/>
        <w:jc w:val="both"/>
        <w:rPr>
          <w:rFonts w:ascii="Arial" w:hAnsi="Arial" w:cs="Arial"/>
          <w:color w:val="auto"/>
        </w:rPr>
      </w:pPr>
      <w:r>
        <w:rPr>
          <w:rFonts w:cs="Arial" w:ascii="Arial" w:hAnsi="Arial"/>
          <w:color w:val="auto"/>
        </w:rPr>
      </w:r>
    </w:p>
    <w:p>
      <w:pPr>
        <w:pStyle w:val="Normal"/>
        <w:spacing w:lineRule="auto" w:line="360"/>
        <w:jc w:val="both"/>
        <w:rPr/>
      </w:pPr>
      <w:r>
        <w:rPr>
          <w:rFonts w:cs="Arial" w:ascii="Arial" w:hAnsi="Arial"/>
          <w:b/>
          <w:bCs/>
          <w:color w:val="auto"/>
          <w:sz w:val="22"/>
          <w:szCs w:val="22"/>
        </w:rPr>
        <w:t xml:space="preserve">12. </w:t>
      </w:r>
      <w:r>
        <w:rPr>
          <w:rStyle w:val="Fontepargpadro"/>
          <w:rFonts w:cs="Arial" w:ascii="Arial" w:hAnsi="Arial"/>
          <w:b/>
          <w:bCs/>
          <w:i w:val="false"/>
          <w:iCs w:val="false"/>
          <w:color w:val="000000"/>
          <w:sz w:val="22"/>
          <w:szCs w:val="22"/>
          <w:shd w:fill="auto" w:val="clear"/>
        </w:rPr>
        <w:t>DAS OBRIGAÇÕES DA ADMINISTRAÇÃO MUNICIPAL</w:t>
      </w:r>
    </w:p>
    <w:p>
      <w:pPr>
        <w:pStyle w:val="Normal"/>
        <w:spacing w:lineRule="auto" w:line="360"/>
        <w:jc w:val="both"/>
        <w:rPr>
          <w:rStyle w:val="Fontepargpadro"/>
          <w:rFonts w:ascii="Arial" w:hAnsi="Arial" w:cs="Arial"/>
          <w:b/>
          <w:b/>
          <w:bCs/>
          <w:i w:val="false"/>
          <w:i w:val="false"/>
          <w:iCs w:val="false"/>
          <w:color w:val="000000"/>
          <w:sz w:val="22"/>
          <w:szCs w:val="22"/>
          <w:shd w:fill="auto" w:val="clear"/>
        </w:rPr>
      </w:pPr>
      <w:r>
        <w:rPr>
          <w:rFonts w:cs="Arial" w:ascii="Arial" w:hAnsi="Arial"/>
          <w:b/>
          <w:bCs/>
          <w:i w:val="false"/>
          <w:iCs w:val="false"/>
          <w:color w:val="000000"/>
          <w:sz w:val="22"/>
          <w:szCs w:val="22"/>
          <w:shd w:fill="auto" w:val="clear"/>
        </w:rPr>
      </w:r>
    </w:p>
    <w:p>
      <w:pPr>
        <w:pStyle w:val="Normal"/>
        <w:spacing w:lineRule="auto" w:line="360"/>
        <w:jc w:val="both"/>
        <w:rPr/>
      </w:pPr>
      <w:r>
        <w:rPr>
          <w:rStyle w:val="Fontepargpadro"/>
          <w:rFonts w:cs="Arial" w:ascii="Arial" w:hAnsi="Arial"/>
          <w:b w:val="false"/>
          <w:bCs w:val="false"/>
          <w:i w:val="false"/>
          <w:iCs w:val="false"/>
          <w:color w:val="000000"/>
          <w:sz w:val="22"/>
          <w:szCs w:val="22"/>
          <w:shd w:fill="FFFFFF" w:val="clear"/>
        </w:rPr>
        <w:t>12.1. São obrigações da ADMINISTRAÇÃO MUNICIPAL, além das obrigações a ela inerentes previstas no edital:</w:t>
      </w:r>
    </w:p>
    <w:p>
      <w:pPr>
        <w:pStyle w:val="Normal"/>
        <w:spacing w:lineRule="auto" w:line="360"/>
        <w:jc w:val="both"/>
        <w:rPr>
          <w:rStyle w:val="Fontepargpadro"/>
          <w:rFonts w:ascii="Arial" w:hAnsi="Arial" w:cs="Arial"/>
          <w:b w:val="false"/>
          <w:b w:val="false"/>
          <w:bCs w:val="false"/>
          <w:i w:val="false"/>
          <w:i w:val="false"/>
          <w:iCs w:val="false"/>
          <w:color w:val="000000"/>
          <w:sz w:val="22"/>
          <w:szCs w:val="22"/>
          <w:shd w:fill="FFFFFF" w:val="clear"/>
        </w:rPr>
      </w:pPr>
      <w:r>
        <w:rPr>
          <w:rFonts w:cs="Arial" w:ascii="Arial" w:hAnsi="Arial"/>
          <w:b w:val="false"/>
          <w:bCs w:val="false"/>
          <w:i w:val="false"/>
          <w:iCs w:val="false"/>
          <w:color w:val="000000"/>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color w:val="000000"/>
          <w:sz w:val="22"/>
          <w:szCs w:val="22"/>
          <w:shd w:fill="FFFFFF" w:val="clear"/>
        </w:rPr>
        <w:t>12.2. Prestar as informações e os esclarecimentos que venham a ser solicitados.</w:t>
      </w:r>
    </w:p>
    <w:p>
      <w:pPr>
        <w:pStyle w:val="Normal"/>
        <w:spacing w:lineRule="auto" w:line="36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spacing w:lineRule="auto" w:line="360"/>
        <w:ind w:left="0" w:right="0" w:hanging="0"/>
        <w:jc w:val="both"/>
        <w:rPr/>
      </w:pPr>
      <w:r>
        <w:rPr>
          <w:rStyle w:val="Fontepargpadro"/>
          <w:rFonts w:cs="Arial" w:ascii="Arial" w:hAnsi="Arial"/>
          <w:b w:val="false"/>
          <w:bCs w:val="false"/>
          <w:sz w:val="22"/>
          <w:szCs w:val="22"/>
          <w:shd w:fill="FFFFFF" w:val="clear"/>
        </w:rPr>
        <w:t xml:space="preserve">12.3. Notificar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
          <w:rFonts w:cs="Arial" w:ascii="Arial" w:hAnsi="Arial"/>
          <w:b w:val="false"/>
          <w:bCs w:val="false"/>
          <w:sz w:val="22"/>
          <w:szCs w:val="22"/>
          <w:shd w:fill="FFFFFF" w:val="clear"/>
        </w:rPr>
        <w:t xml:space="preserve"> por escrito da ocorrência de eventuais imperfeições, falhas ou irregularidades constatadas no curso da execução do objeto, fixando prazo para a sua correção, certificando-se que as soluções por ela propostas sejam as mais adequadas.</w:t>
      </w:r>
    </w:p>
    <w:p>
      <w:pPr>
        <w:pStyle w:val="Normal"/>
        <w:spacing w:lineRule="auto" w:line="36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ivel2"/>
        <w:numPr>
          <w:ilvl w:val="0"/>
          <w:numId w:val="0"/>
        </w:numPr>
        <w:spacing w:lineRule="auto" w:line="360" w:before="0" w:after="0"/>
        <w:ind w:left="0" w:right="0" w:hanging="0"/>
        <w:rPr/>
      </w:pPr>
      <w:r>
        <w:rPr>
          <w:rStyle w:val="Fontepargpadro"/>
          <w:rFonts w:eastAsia="SimSun" w:cs="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h-CN" w:bidi="hi-IN"/>
        </w:rPr>
        <w:t xml:space="preserve">12.4. Abster-se assumir </w:t>
      </w:r>
      <w:r>
        <w:rPr>
          <w:rStyle w:val="Fontepargpadro"/>
          <w:rFonts w:eastAsia="Times New Roman" w:cs="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quaisquer compromissos assumidos pela EMPRESA com terceiros, ainda que vinculados à execução do objeto, bem como por qualquer dano causado a terceiros em decorrência de ato da EMPRESA, de seus empregados, prepostos ou subordinados.</w:t>
      </w:r>
    </w:p>
    <w:p>
      <w:pPr>
        <w:pStyle w:val="Normal"/>
        <w:spacing w:lineRule="auto" w:line="36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12.5.</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Deverá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disponibilizar o espaço físico com instalações apropriadas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no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Centro de Saúde Benedito Pinto das Chagas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para a execução dos serviços. A CONTRATADA, por sua vez, deverá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fornecer e disponibilizar no local designado todos os equipamentos, insumos, equipamentos de proteção individual para seus profissionais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bem como quaisquer outros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materiais necessários à completa execução dos serviços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w:t>
      </w:r>
    </w:p>
    <w:p>
      <w:pPr>
        <w:pStyle w:val="Normal"/>
        <w:numPr>
          <w:ilvl w:val="0"/>
          <w:numId w:val="0"/>
        </w:numPr>
        <w:tabs>
          <w:tab w:val="clear" w:pos="709"/>
          <w:tab w:val="left" w:pos="0" w:leader="none"/>
        </w:tabs>
        <w:bidi w:val="0"/>
        <w:spacing w:lineRule="auto" w:line="36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12.6. Deverá encaminhar para a CONTRATADA os pacientes com a requisição de exames devidamente preenchido com os dados pessoais e a indicação do exame adequado ao paciente, autorizado pelo</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Serviço de Controle e Avaliação, salvo em casos de emergência, que poderão ser encaminhados pela Direção do Hospital Municipal Mariana Maria de Jesus.</w:t>
      </w:r>
    </w:p>
    <w:p>
      <w:pPr>
        <w:pStyle w:val="Normal"/>
        <w:numPr>
          <w:ilvl w:val="0"/>
          <w:numId w:val="0"/>
        </w:numPr>
        <w:tabs>
          <w:tab w:val="clear" w:pos="709"/>
          <w:tab w:val="left" w:pos="0" w:leader="none"/>
        </w:tabs>
        <w:bidi w:val="0"/>
        <w:spacing w:lineRule="auto" w:line="36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12.7. Deverá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supervisionar, monitorar e fiscalizar o cumprimento das obrigações da CONTRATADA e de seus profissionais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registrando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ocorrências e eventuais deficiências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relacionadas à execução dos serviços, tanto sob os aspectos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quantitativos quanto qualitativos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Sempre que houver necessidade de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medidas corretivas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a CONTRATANTE deverá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comunicar formalmente à CONTRATADA</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informando por escrito as razões que motivarem eventual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rejeição dos serviços contratados;</w:t>
      </w:r>
    </w:p>
    <w:p>
      <w:pPr>
        <w:pStyle w:val="Normal"/>
        <w:numPr>
          <w:ilvl w:val="0"/>
          <w:numId w:val="0"/>
        </w:numPr>
        <w:tabs>
          <w:tab w:val="clear" w:pos="709"/>
          <w:tab w:val="left" w:pos="0" w:leader="none"/>
        </w:tabs>
        <w:bidi w:val="0"/>
        <w:spacing w:lineRule="auto" w:line="276"/>
        <w:ind w:left="0" w:right="0" w:hanging="0"/>
        <w:jc w:val="both"/>
        <w:rPr>
          <w:rStyle w:val="Fontepargpadro"/>
          <w:rFonts w:ascii="Arial" w:hAnsi="Arial" w:cs="Arial"/>
        </w:rPr>
      </w:pPr>
      <w:r>
        <w:rPr>
          <w:rFonts w:cs="Arial" w:ascii="Arial" w:hAnsi="Arial"/>
        </w:rPr>
      </w:r>
    </w:p>
    <w:p>
      <w:pPr>
        <w:pStyle w:val="Normal"/>
        <w:numPr>
          <w:ilvl w:val="0"/>
          <w:numId w:val="0"/>
        </w:numPr>
        <w:tabs>
          <w:tab w:val="clear" w:pos="709"/>
          <w:tab w:val="left" w:pos="0" w:leader="none"/>
        </w:tabs>
        <w:bidi w:val="0"/>
        <w:spacing w:lineRule="auto" w:line="360"/>
        <w:ind w:left="0" w:right="0" w:hanging="0"/>
        <w:jc w:val="both"/>
        <w:rPr>
          <w:rStyle w:val="Fontepargpadro"/>
          <w:rFonts w:ascii="Arial" w:hAnsi="Arial" w:cs="Arial"/>
        </w:rPr>
      </w:pPr>
      <w:r>
        <w:rPr>
          <w:rStyle w:val="Fontepargpadro"/>
          <w:rFonts w:cs="Arial" w:ascii="Arial" w:hAnsi="Arial"/>
        </w:rPr>
        <w:t xml:space="preserve">12.8. </w:t>
      </w:r>
      <w:r>
        <w:rPr>
          <w:rStyle w:val="Fontepargpadro"/>
          <w:rFonts w:cs="arial" w:ascii="Arial" w:hAnsi="Arial"/>
          <w:b w:val="false"/>
          <w:bCs w:val="false"/>
          <w:color w:val="000000"/>
          <w:sz w:val="22"/>
          <w:szCs w:val="22"/>
        </w:rPr>
        <w:t>Deverá p</w:t>
      </w:r>
      <w:r>
        <w:rPr>
          <w:rStyle w:val="Fontepargpadro"/>
          <w:rFonts w:cs="arial" w:ascii="Arial" w:hAnsi="Arial"/>
          <w:color w:val="000000"/>
          <w:sz w:val="22"/>
          <w:szCs w:val="22"/>
        </w:rPr>
        <w:t>ermitir o acesso dos representantes ou profissionais da CONTRATADA ao local de prestação dos serviços, desde que devidamente identificados, permitindo que a empresa contratada possa desempenhar os serviços contratados;</w:t>
      </w:r>
    </w:p>
    <w:p>
      <w:pPr>
        <w:pStyle w:val="Normal"/>
        <w:numPr>
          <w:ilvl w:val="0"/>
          <w:numId w:val="0"/>
        </w:numPr>
        <w:tabs>
          <w:tab w:val="clear" w:pos="709"/>
          <w:tab w:val="left" w:pos="0" w:leader="none"/>
        </w:tabs>
        <w:bidi w:val="0"/>
        <w:spacing w:lineRule="auto" w:line="360"/>
        <w:ind w:left="0" w:right="0" w:hanging="0"/>
        <w:jc w:val="both"/>
        <w:rPr>
          <w:rStyle w:val="Fontepargpadro"/>
          <w:rFonts w:ascii="Arial" w:hAnsi="Arial" w:cs="Arial"/>
        </w:rPr>
      </w:pPr>
      <w:r>
        <w:rPr>
          <w:rFonts w:cs="Arial" w:ascii="Arial" w:hAnsi="Arial"/>
        </w:rPr>
      </w:r>
    </w:p>
    <w:p>
      <w:pPr>
        <w:pStyle w:val="Normal"/>
        <w:numPr>
          <w:ilvl w:val="0"/>
          <w:numId w:val="0"/>
        </w:numPr>
        <w:tabs>
          <w:tab w:val="clear" w:pos="709"/>
          <w:tab w:val="left" w:pos="0" w:leader="none"/>
        </w:tabs>
        <w:bidi w:val="0"/>
        <w:spacing w:lineRule="auto" w:line="360"/>
        <w:ind w:left="0" w:right="0" w:hanging="0"/>
        <w:jc w:val="both"/>
        <w:rPr>
          <w:rStyle w:val="Fontepargpadro"/>
          <w:rFonts w:ascii="Arial" w:hAnsi="Arial" w:cs="Arial"/>
        </w:rPr>
      </w:pPr>
      <w:r>
        <w:rPr>
          <w:rStyle w:val="Fontepargpadro"/>
          <w:rFonts w:cs="arial" w:ascii="Arial" w:hAnsi="Arial"/>
          <w:color w:val="000000"/>
          <w:sz w:val="22"/>
          <w:szCs w:val="22"/>
        </w:rPr>
        <w:t xml:space="preserve">12.9. </w:t>
      </w:r>
      <w:r>
        <w:rPr>
          <w:rStyle w:val="Fontepargpadro"/>
          <w:rFonts w:cs="arial" w:ascii="Arial" w:hAnsi="Arial"/>
          <w:b w:val="false"/>
          <w:bCs w:val="false"/>
          <w:color w:val="auto"/>
          <w:sz w:val="22"/>
          <w:szCs w:val="22"/>
        </w:rPr>
        <w:t>D</w:t>
      </w:r>
      <w:r>
        <w:rPr>
          <w:rStyle w:val="Fontepargpadro"/>
          <w:rFonts w:cs="arial" w:ascii="Arial" w:hAnsi="Arial"/>
          <w:b w:val="false"/>
          <w:bCs w:val="false"/>
          <w:color w:val="000000"/>
          <w:sz w:val="22"/>
          <w:szCs w:val="22"/>
        </w:rPr>
        <w:t>everá e</w:t>
      </w:r>
      <w:r>
        <w:rPr>
          <w:rStyle w:val="Fontepargpadro"/>
          <w:rFonts w:cs="arial" w:ascii="Arial" w:hAnsi="Arial"/>
          <w:color w:val="000000"/>
          <w:sz w:val="22"/>
          <w:szCs w:val="22"/>
        </w:rPr>
        <w:t>fetuar o pagamento à contratada de acordo com as condições estabelecidas no Contrato e respectivos Anexos, contados a partir do aceite do recebimento do documento fiscal, acompanhado da relação nominal mensal dos procedimentos realizados e a requisição original, na Secretaria Municipal de Saúde.</w:t>
      </w:r>
    </w:p>
    <w:p>
      <w:pPr>
        <w:pStyle w:val="Normal"/>
        <w:spacing w:lineRule="auto" w:line="360"/>
        <w:ind w:left="0" w:right="0" w:hanging="0"/>
        <w:jc w:val="both"/>
        <w:rPr/>
      </w:pP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OBRIGAÇÕES DA ADJUDICATÁRIA</w:t>
      </w:r>
    </w:p>
    <w:p>
      <w:pPr>
        <w:pStyle w:val="Normal"/>
        <w:spacing w:lineRule="auto" w:line="360"/>
        <w:ind w:left="0" w:right="0" w:hanging="0"/>
        <w:jc w:val="both"/>
        <w:rPr>
          <w:rStyle w:val="Fontepargpadro"/>
          <w:rFonts w:ascii="Arial" w:hAnsi="Arial" w:eastAsia="SimSun" w:cs="Arial"/>
          <w:b/>
          <w:b/>
          <w:bCs/>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pPr>
      <w:r>
        <w:rPr>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r>
    </w:p>
    <w:p>
      <w:pPr>
        <w:pStyle w:val="Normal"/>
        <w:spacing w:lineRule="auto" w:line="360"/>
        <w:jc w:val="both"/>
        <w:rPr/>
      </w:pPr>
      <w:r>
        <w:rPr>
          <w:rStyle w:val="Fontepargpadro"/>
          <w:rFonts w:cs="Arial" w:ascii="Arial" w:hAnsi="Arial"/>
          <w:b w:val="false"/>
          <w:bCs w:val="false"/>
          <w:sz w:val="22"/>
          <w:szCs w:val="22"/>
          <w:shd w:fill="FFFFFF" w:val="clear"/>
        </w:rPr>
        <w:t xml:space="preserve">13.1. São obrigações da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
          <w:rFonts w:cs="Arial" w:ascii="Arial" w:hAnsi="Arial"/>
          <w:b w:val="false"/>
          <w:bCs w:val="false"/>
          <w:sz w:val="22"/>
          <w:szCs w:val="22"/>
          <w:shd w:fill="FFFFFF" w:val="clear"/>
        </w:rPr>
        <w:t>, além das obrigações a ela inerentes previstas no edital:</w:t>
      </w:r>
    </w:p>
    <w:p>
      <w:pPr>
        <w:pStyle w:val="Normal"/>
        <w:spacing w:lineRule="auto" w:line="36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color w:val="000000"/>
          <w:sz w:val="22"/>
          <w:szCs w:val="22"/>
          <w:shd w:fill="FFFFFF" w:val="clear"/>
        </w:rPr>
        <w:t>13.1.1.</w:t>
      </w:r>
      <w:r>
        <w:rPr>
          <w:rStyle w:val="Fontepargpadro"/>
          <w:rFonts w:cs="Arial" w:ascii="Arial" w:hAnsi="Arial"/>
          <w:b w:val="false"/>
          <w:bCs w:val="false"/>
          <w:sz w:val="22"/>
          <w:szCs w:val="22"/>
          <w:shd w:fill="FFFFFF" w:val="clear"/>
        </w:rPr>
        <w:t xml:space="preserve">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Executar fielmente o objeto contratado em conformidade com as disposições deste Termo de Referência, do Contrato, do Edital e seus Anexos e de acordo com a proposta apresentada, verificando sempre o bom desempenho dos serviços prestados e atendendo aos seus critérios de qualidade.</w:t>
      </w:r>
    </w:p>
    <w:p>
      <w:pPr>
        <w:pStyle w:val="Normal"/>
        <w:widowControl/>
        <w:suppressAutoHyphens w:val="true"/>
        <w:bidi w:val="0"/>
        <w:spacing w:lineRule="auto" w:line="276"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13.1.2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Comunicar ao fiscal do contrato qualquer empecilho à execução a tempo de serem tomadas as medidas cabíveis para não atrasar a execução do contrato.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13.1.3.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Acatar a fiscalização da ADMINISTRAÇÃO MUNICIPAL, comunicando-a de quaisquer irregularidades detectadas durante a execução dos serviços.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13.1.4.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Atender, por meio de preposto nomeado, qualquer solicitação por parte dos fiscais do Contrato, prestando as informações referentes à prestação dos serviços, bem como as correções de eventuais irregularidades na execução do objeto contratado.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13.1.5.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Apresentar os documentos fiscais de cobrança em conformidade com o estabelecido no Contrato.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13.1.6.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Manter atualizados seu endereço, telefones e dados bancários para a efetivação de pagamentos.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13.1.7.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Executar o objeto da Ata por meio de pessoas idôneas, com capacitação profissional, assumindo total responsabilidade por quaisquer danos ou faltas que seus empregados, prepostos ou mandatários que no desempenho de suas funções causem à ADMINISTRAÇÃO MUNICIPAL, podendo este solicitar a substituição daqueles cuja conduta seja julgada inconveniente ou cuja capacitação técnica seja insuficiente.</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13.1.8.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Cumprir e fazer cumprir, seus prepostos ou conveniados, leis, regulamentos e posturas, bem como quaisquer determinações emanadas das autoridades competentes, pertinentes à matéria objeto desta contratação, cabendo-lhe única e exclusiva responsabilidade pelas consequências de qualquer transgressão de seus prepostos ou convenentes.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13.1.9.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Indicar seu representante junto à ADMINISTRAÇÃO MUNICIPAL, que durante o período de vigência da Ata será a pessoa a quem a Administração recorrerá sempre que for necessário, inclusive para requerer esclarecimentos e exigir solução para problemas que porventura surgirem durante a execução do Contrato.</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13.1.10.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Manter, durante a execução da Ata, em compatibilidade com as obrigações assumidas, todas as condições de habilitação e qualificação exigidas na licitação.</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13.1.11. Utilizar empregados habilitados e com conhecimentos básicos dos serviços a serem executados, em conformidade com as normas e determinações em vigor;</w:t>
      </w:r>
    </w:p>
    <w:p>
      <w:pPr>
        <w:pStyle w:val="Normal"/>
        <w:widowControl/>
        <w:suppressAutoHyphens w:val="true"/>
        <w:bidi w:val="0"/>
        <w:spacing w:lineRule="auto" w:line="360" w:before="0" w:after="0"/>
        <w:ind w:left="0" w:right="0" w:hanging="0"/>
        <w:jc w:val="both"/>
        <w:rPr>
          <w:rStyle w:val="Fontepargpadro"/>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r>
    </w:p>
    <w:p>
      <w:pPr>
        <w:pStyle w:val="Normal"/>
        <w:widowControl/>
        <w:suppressAutoHyphens w:val="true"/>
        <w:bidi w:val="0"/>
        <w:spacing w:lineRule="auto" w:line="360" w:before="0" w:after="0"/>
        <w:ind w:left="0" w:right="0" w:hanging="0"/>
        <w:jc w:val="both"/>
        <w:rPr/>
      </w:pP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t xml:space="preserve">13.1.12.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t xml:space="preserve"> deverá estar rigorosamente em dia com o cumprimento de toda e qualquer </w:t>
      </w:r>
      <w:r>
        <w:rPr>
          <w:rFonts w:cs="Arial" w:ascii="Arial" w:hAnsi="Arial"/>
          <w:b w:val="false"/>
          <w:bCs w:val="false"/>
          <w:sz w:val="22"/>
          <w:szCs w:val="22"/>
          <w:shd w:fill="FFFFFF" w:val="clear"/>
        </w:rPr>
        <w:t>obrigação comercial, regulamentar e legal inerente à execução do objeto, em âmbito municipal, estadual, federal e dos órgãos de classe e de regulamentação da atividade;</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 xml:space="preserve">13.1.13. Comunicar à </w:t>
      </w:r>
      <w:r>
        <w:rPr>
          <w:rStyle w:val="Fontepargpadro"/>
          <w:rFonts w:cs="Arial" w:ascii="Arial" w:hAnsi="Arial"/>
          <w:b w:val="false"/>
          <w:bCs w:val="false"/>
          <w:color w:val="000000"/>
          <w:sz w:val="22"/>
          <w:szCs w:val="22"/>
          <w:shd w:fill="FFFFFF" w:val="clear"/>
        </w:rPr>
        <w:t>ADMINISTRAÇÃO MUNICIPAL</w:t>
      </w:r>
      <w:r>
        <w:rPr>
          <w:rStyle w:val="Fontepargpadro"/>
          <w:rFonts w:cs="Arial" w:ascii="Arial" w:hAnsi="Arial"/>
          <w:b w:val="false"/>
          <w:bCs w:val="false"/>
          <w:sz w:val="22"/>
          <w:szCs w:val="22"/>
          <w:shd w:fill="FFFFFF" w:val="clear"/>
        </w:rPr>
        <w:t>, no prazo máximo de 24 (vinte e quatro) horas, qualquer ocorrência anormal ou que se verifique na prestação dos objetos, inclusive os motivos que impossibilitem o cumprimento do prazo previsto, com a devida comprovação;</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13.1.14. Prestar todo esclarecimento ou informação solicitada pel</w:t>
      </w:r>
      <w:r>
        <w:rPr>
          <w:rStyle w:val="Fontepargpadro"/>
          <w:rFonts w:cs="Arial" w:ascii="Arial" w:hAnsi="Arial"/>
          <w:b w:val="false"/>
          <w:bCs w:val="false"/>
          <w:color w:val="000000"/>
          <w:sz w:val="22"/>
          <w:szCs w:val="22"/>
          <w:shd w:fill="FFFFFF" w:val="clear"/>
        </w:rPr>
        <w:t>a ADMINISTRAÇÃO MUNICIPAL</w:t>
      </w:r>
      <w:r>
        <w:rPr>
          <w:rStyle w:val="Fontepargpadro"/>
          <w:rFonts w:cs="Arial" w:ascii="Arial" w:hAnsi="Arial"/>
          <w:b w:val="false"/>
          <w:bCs w:val="false"/>
          <w:sz w:val="22"/>
          <w:szCs w:val="22"/>
          <w:shd w:fill="FFFFFF" w:val="clear"/>
        </w:rPr>
        <w:t xml:space="preserve"> ou por seus prepostos, garantindo-lhes o acesso aos documentos relativos à execução do objeto.</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 xml:space="preserve">13.1.15. Paralisar, por determinação </w:t>
      </w:r>
      <w:r>
        <w:rPr>
          <w:rStyle w:val="Fontepargpadro"/>
          <w:rFonts w:cs="Arial" w:ascii="Arial" w:hAnsi="Arial"/>
          <w:b w:val="false"/>
          <w:bCs w:val="false"/>
          <w:color w:val="000000"/>
          <w:sz w:val="22"/>
          <w:szCs w:val="22"/>
          <w:shd w:fill="FFFFFF" w:val="clear"/>
        </w:rPr>
        <w:t>da ADMINISTRAÇÃO MUNICIPAL</w:t>
      </w:r>
      <w:r>
        <w:rPr>
          <w:rStyle w:val="Fontepargpadro"/>
          <w:rFonts w:cs="Arial" w:ascii="Arial" w:hAnsi="Arial"/>
          <w:b w:val="false"/>
          <w:bCs w:val="false"/>
          <w:sz w:val="22"/>
          <w:szCs w:val="22"/>
          <w:shd w:fill="FFFFFF" w:val="clear"/>
        </w:rPr>
        <w:t>, qualquer atividade que não esteja sendo executada de acordo com a boa técnica ou que ponha em risco a segurança de pessoas ou bens de terceiros.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i w:val="false"/>
          <w:caps w:val="false"/>
          <w:smallCaps w:val="false"/>
          <w:strike w:val="false"/>
          <w:dstrike w:val="false"/>
          <w:outline w:val="false"/>
          <w:shadow w:val="false"/>
          <w:color w:val="000000"/>
          <w:spacing w:val="0"/>
          <w:sz w:val="22"/>
          <w:szCs w:val="22"/>
          <w:u w:val="none"/>
          <w:shd w:fill="FFFFFF" w:val="clear"/>
          <w:em w:val="none"/>
        </w:rPr>
        <w:t>13.1.16. Responder civil, criminal e administrativamente, por danos pessoais ou patrimoniais decorrentes de sua culpa ou dolo na execução do contrato ou ainda, por negligência, imprudência ou imperícia de seus prepostos.</w:t>
      </w:r>
    </w:p>
    <w:p>
      <w:pPr>
        <w:pStyle w:val="Normal"/>
        <w:widowControl/>
        <w:suppressAutoHyphens w:val="true"/>
        <w:bidi w:val="0"/>
        <w:spacing w:lineRule="auto" w:line="360" w:before="0" w:after="0"/>
        <w:ind w:left="0" w:right="0" w:hanging="0"/>
        <w:jc w:val="both"/>
        <w:rPr>
          <w:rFonts w:ascii="Arial" w:hAnsi="Arial" w:eastAsia="Arial" w:cs="Arial"/>
          <w:b w:val="false"/>
          <w:b w:val="false"/>
          <w:bCs w:val="false"/>
          <w:i w:val="false"/>
          <w:i w:val="false"/>
          <w:caps w:val="false"/>
          <w:smallCaps w:val="false"/>
          <w:strike w:val="false"/>
          <w:dstrike w:val="false"/>
          <w:outline w:val="false"/>
          <w:shadow w:val="false"/>
          <w:color w:val="000000"/>
          <w:spacing w:val="0"/>
          <w:sz w:val="22"/>
          <w:szCs w:val="22"/>
          <w:u w:val="none"/>
          <w:shd w:fill="FFFFFF" w:val="clear"/>
          <w:em w:val="none"/>
        </w:rPr>
      </w:pPr>
      <w:r>
        <w:rPr>
          <w:rFonts w:eastAsia="Arial" w:cs="Arial" w:ascii="Arial" w:hAnsi="Arial"/>
          <w:b w:val="false"/>
          <w:bCs w:val="false"/>
          <w:i w:val="false"/>
          <w:caps w:val="false"/>
          <w:smallCaps w:val="false"/>
          <w:strike w:val="false"/>
          <w:dstrike w:val="false"/>
          <w:outline w:val="false"/>
          <w:shadow w:val="false"/>
          <w:color w:val="000000"/>
          <w:spacing w:val="0"/>
          <w:sz w:val="22"/>
          <w:szCs w:val="22"/>
          <w:u w:val="none"/>
          <w:shd w:fill="FFFFFF" w:val="clear"/>
          <w:em w:val="none"/>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color w:val="000000"/>
          <w:sz w:val="22"/>
          <w:szCs w:val="22"/>
          <w:shd w:fill="FFFFFF" w:val="clear"/>
        </w:rPr>
        <w:t xml:space="preserve">13.1.17. </w:t>
      </w:r>
      <w:r>
        <w:rPr>
          <w:rFonts w:cs="Arial" w:ascii="Arial" w:hAnsi="Arial"/>
          <w:b w:val="false"/>
          <w:bCs w:val="false"/>
          <w:sz w:val="22"/>
          <w:szCs w:val="22"/>
          <w:shd w:fill="FFFFFF" w:val="clear"/>
        </w:rPr>
        <w:t>Arcar com eventuais prejuízos causados ao processo e/ou a terceiros, provocados por ineficiência ou irregularidade cometida na execução da proposta.</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color w:val="000000"/>
          <w:sz w:val="22"/>
          <w:szCs w:val="22"/>
          <w:shd w:fill="FFFFFF" w:val="clear"/>
        </w:rPr>
        <w:t xml:space="preserve">13.1.18. </w:t>
      </w:r>
      <w:r>
        <w:rPr>
          <w:rFonts w:cs="Arial" w:ascii="Arial" w:hAnsi="Arial"/>
          <w:b w:val="false"/>
          <w:bCs w:val="false"/>
          <w:sz w:val="22"/>
          <w:szCs w:val="22"/>
          <w:shd w:fill="FFFFFF" w:val="clear"/>
        </w:rPr>
        <w:t>Arcar com todas as despesas tais como, taxas, impostos ou quaisquer outros acréscimos legais.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13.1.19. </w:t>
      </w:r>
      <w:r>
        <w:rPr>
          <w:rFonts w:cs="Arial" w:ascii="Arial" w:hAnsi="Arial"/>
          <w:b w:val="false"/>
          <w:bCs w:val="false"/>
          <w:sz w:val="22"/>
          <w:szCs w:val="22"/>
          <w:shd w:fill="FFFFFF" w:val="clear"/>
        </w:rPr>
        <w:t>Arcar com o ônus das multas e penalidades decorrentes do não cumprimento de obrigações legais, regulamentares e contratuais.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13.1.20. Não permitir a utilização de qualquer trabalho do menor de 16 (dezesseis) anos, exceto na condição de aprendiz para os maiores de 14 (quatorze) anos; nem permitir a utilização do trabalho do menor de dezoito anos em trabalho noturno, perigoso ou insalubre.</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Arial"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13.1.21.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No caso das obrigações serem cumpridas por filial, apresentar os documentos que comprovem a sua regularidade fiscal, mantendo esta condição durante toda execução do objeto.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13.1.22. Adotar os demais procedimentos necessários à boa execução da Ata e cumprir, às suas próprias expensas, todas as cláusulas contratuais que definam suas obrigações.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13.2.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Durante a execução dos serviços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deverá zelar pela integridade física dos seus funcionários, fornecendo todos os equipamentos de proteção individual (EPI) e de todas as pessoas que estiverem no local;</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13.3.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deverá dispor, às suas expensas, todos os equipamentos, ferramentas e toda espécie de materiais de consumo e mão de obra necessários à plena execução dos serviços.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Pr>
      </w:pPr>
      <w:r>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ascii="Arial" w:hAnsi="Arial"/>
          <w:sz w:val="22"/>
          <w:szCs w:val="22"/>
        </w:rPr>
        <w:t>13.4. Manter absoluto sigilo quanto às informações pertinentes ao serviço que deverá ser entregue, vedada sua divulgação sem permissão da Adjudicatária.</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13.5.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deverá apresentar funcionário(s) qualificado(s) devidamente credenciado(s) e habilitado(s), competente do tipo de serviço a ser executado com ferramentas e equipamentos de segurança próprios para a execução do serviço, deverão se obedecidas às normas técnicas atinentes.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13.6.  Responsabilizar-se por quaisquer acidentes de que venham ser vítimas os seus empregados em serviços, cumprindo todas as obrigações quanto ás leis trabalhistas e previdenciárias e lhes assegurando as demais exigências para o exercício das atividades.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13.7. Comunicar ao Gestor da Ata, por escrito, qualquer anormalidade ou impropriedade verificada na execução dos serviços e prestar os esclarecimentos necessários, para deliberação e mudança dos detalhes por parte da Secretaria Municipal de Administração, durante a fase de planejamento do evento.</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13.8. Não será admitida subcontratação do objeto.</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spacing w:lineRule="auto" w:line="360"/>
        <w:jc w:val="both"/>
        <w:rPr/>
      </w:pPr>
      <w:r>
        <w:rPr>
          <w:rStyle w:val="Fontepargpadro2"/>
          <w:rFonts w:cs="Arial" w:ascii="Arial" w:hAnsi="Arial"/>
          <w:color w:val="000000"/>
          <w:sz w:val="22"/>
          <w:szCs w:val="22"/>
        </w:rPr>
        <w:t xml:space="preserve">13.9. As despesas com deslocamento, hospedagem e alimentação dos profissionais envolvidos na execução do objeto são de responsabilidade exclusiva da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cs="Arial" w:ascii="Arial" w:hAnsi="Arial"/>
          <w:color w:val="000000"/>
          <w:sz w:val="22"/>
          <w:szCs w:val="22"/>
        </w:rPr>
        <w:t>.</w:t>
      </w:r>
    </w:p>
    <w:p>
      <w:pPr>
        <w:pStyle w:val="Normal"/>
        <w:spacing w:lineRule="auto" w:line="360"/>
        <w:jc w:val="both"/>
        <w:rPr>
          <w:rStyle w:val="Fontepargpadro2"/>
          <w:rFonts w:ascii="Arial" w:hAnsi="Arial" w:cs="Arial"/>
          <w:color w:val="000000"/>
          <w:sz w:val="22"/>
          <w:szCs w:val="22"/>
        </w:rPr>
      </w:pPr>
      <w:r>
        <w:rPr>
          <w:rFonts w:cs="Arial" w:ascii="Arial" w:hAnsi="Arial"/>
          <w:color w:val="000000"/>
          <w:sz w:val="22"/>
          <w:szCs w:val="22"/>
        </w:rPr>
      </w:r>
    </w:p>
    <w:p>
      <w:pPr>
        <w:pStyle w:val="Normal"/>
        <w:spacing w:lineRule="auto" w:line="360"/>
        <w:jc w:val="both"/>
        <w:rPr/>
      </w:pPr>
      <w:r>
        <w:rPr>
          <w:rStyle w:val="Fontepargpadro2"/>
          <w:rFonts w:cs="Arial" w:ascii="Arial" w:hAnsi="Arial"/>
          <w:color w:val="000000"/>
          <w:sz w:val="22"/>
          <w:szCs w:val="22"/>
        </w:rPr>
        <w:t xml:space="preserve">13.10.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cs="Arial" w:ascii="Arial" w:hAnsi="Arial"/>
          <w:color w:val="000000"/>
          <w:sz w:val="22"/>
          <w:szCs w:val="22"/>
        </w:rPr>
        <w:t xml:space="preserve"> deve cumprir todas as obrigações legais e contratuais com seus prepostos, já que os mesmos não terão nenhum vínculo com a ADMINISTRAÇÃO MUNICIPAL.</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13.11.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é responsável pelas despesas com materiais,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remunerações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e vantagens e indenizações decorrentes de obrigações legais, contratuais ou oriundas de acidentes que venham a ser vítimas seus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prepostos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13.12.</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Deverá realizar exames de ecocardiograma fetal e</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infantil em pa</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cientes encaminhados através de requisição de exames pela rede municipal de saúde de Quissamã;</w:t>
      </w:r>
    </w:p>
    <w:p>
      <w:pPr>
        <w:pStyle w:val="Normal"/>
        <w:numPr>
          <w:ilvl w:val="0"/>
          <w:numId w:val="0"/>
        </w:numPr>
        <w:tabs>
          <w:tab w:val="clear" w:pos="709"/>
          <w:tab w:val="left" w:pos="0" w:leader="none"/>
        </w:tabs>
        <w:bidi w:val="0"/>
        <w:spacing w:lineRule="auto" w:line="276"/>
        <w:ind w:left="0" w:right="0" w:hanging="0"/>
        <w:jc w:val="both"/>
        <w:rPr>
          <w:rFonts w:cs="Arial"/>
          <w:caps w:val="false"/>
          <w:smallCaps w:val="false"/>
          <w:strike w:val="false"/>
          <w:dstrike w:val="false"/>
          <w:sz w:val="22"/>
          <w:szCs w:val="22"/>
          <w:lang w:val="pt-BR"/>
        </w:rPr>
      </w:pPr>
      <w:r>
        <w:rPr>
          <w:rFonts w:cs="Arial"/>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13.13.</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Deverá disponibilizar horários e realizar o agendamento prévio, em conformidade com o quantitativo de pacientes e/ou procedimentos contratados, conforme demandas encaminhadas pelo Complexo Regulador Municipal de Quissamã e pelo HMMMJ;</w:t>
      </w:r>
    </w:p>
    <w:p>
      <w:pPr>
        <w:pStyle w:val="Normal"/>
        <w:numPr>
          <w:ilvl w:val="0"/>
          <w:numId w:val="0"/>
        </w:numPr>
        <w:tabs>
          <w:tab w:val="clear" w:pos="709"/>
          <w:tab w:val="left" w:pos="0" w:leader="none"/>
        </w:tabs>
        <w:bidi w:val="0"/>
        <w:spacing w:lineRule="auto" w:line="360"/>
        <w:ind w:left="0" w:right="0" w:hanging="0"/>
        <w:jc w:val="both"/>
        <w:rPr>
          <w:rFonts w:ascii="Arial" w:hAnsi="Arial" w:cs="Arial"/>
          <w:b/>
          <w:b/>
          <w:bCs/>
          <w:caps w:val="false"/>
          <w:smallCaps w:val="false"/>
          <w:strike w:val="false"/>
          <w:dstrike w:val="false"/>
          <w:color w:val="000000"/>
          <w:sz w:val="22"/>
          <w:szCs w:val="22"/>
          <w:lang w:val="pt-BR"/>
        </w:rPr>
      </w:pPr>
      <w:r>
        <w:rPr>
          <w:rFonts w:cs="Arial" w:ascii="Arial" w:hAnsi="Arial"/>
          <w:b/>
          <w:bCs/>
          <w:caps w:val="false"/>
          <w:smallCaps w:val="false"/>
          <w:strike w:val="false"/>
          <w:dstrike w:val="false"/>
          <w:color w:val="000000"/>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13.14.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Deverá informar o agendamento solicitado no máximo de 03 (três) dias úteis, por meio dos seguintes canais: e-mail (</w:t>
      </w:r>
      <w:hyperlink r:id="rId3">
        <w:r>
          <w:rPr>
            <w:rStyle w:val="LinkdaInternet"/>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conaraquissama@gmail.com</w:t>
        </w:r>
      </w:hyperlink>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 e/ou </w:t>
      </w:r>
      <w:hyperlink r:id="rId4">
        <w:r>
          <w:rPr>
            <w:rStyle w:val="LinkdaInternet"/>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complexoreguladorquissama@gmail.com</w:t>
        </w:r>
      </w:hyperlink>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 ou telefone: (22) 2768-1390, ramal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h-CN" w:bidi="hi-IN"/>
        </w:rPr>
        <w:t>9472;</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 </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13.15.</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Deverá realizar os serviços no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Centro de Saúde Benedito Pinto das Chagas, localizado na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eastAsia="en-US" w:bidi="ar-SA"/>
        </w:rPr>
        <w:t>Avenida Francisco de Assis Carneiro da Silva, nº 560, Alto Alegre, Quissamã/RJ,</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em horário comercial, de segunda-feira a sexta-feira, das 8 h às 17 h, para a execução dos exames de rotina.</w:t>
      </w:r>
      <w:r>
        <w:rPr>
          <w:rStyle w:val="Fontepargpadro"/>
          <w:rFonts w:eastAsia="Times New Roman" w:cs="arial" w:ascii="Arial" w:hAnsi="Arial"/>
          <w:b/>
          <w:bCs/>
          <w:i w:val="false"/>
          <w:iCs w:val="false"/>
          <w:caps w:val="false"/>
          <w:smallCaps w:val="false"/>
          <w:strike w:val="false"/>
          <w:dstrike w:val="false"/>
          <w:outline w:val="false"/>
          <w:shadow w:val="false"/>
          <w:vanish w:val="false"/>
          <w:color w:val="000000"/>
          <w:spacing w:val="0"/>
          <w:w w:val="100"/>
          <w:kern w:val="2"/>
          <w:position w:val="0"/>
          <w:sz w:val="22"/>
          <w:sz w:val="22"/>
          <w:szCs w:val="22"/>
          <w:u w:val="none"/>
          <w:shd w:fill="auto" w:val="clear"/>
          <w:vertAlign w:val="baseline"/>
          <w:em w:val="none"/>
          <w:lang w:val="pt-BR" w:eastAsia="zxx" w:bidi="ar-SA"/>
        </w:rPr>
        <w:t xml:space="preserve"> </w:t>
      </w:r>
      <w:r>
        <w:rPr>
          <w:rStyle w:val="Fontepargpadro"/>
          <w:rFonts w:eastAsia="Times New Roman" w:cs="arial" w:ascii="Arial" w:hAnsi="Arial"/>
          <w:b w:val="false"/>
          <w:bCs w:val="false"/>
          <w:i w:val="false"/>
          <w:iCs w:val="false"/>
          <w:caps w:val="false"/>
          <w:smallCaps w:val="false"/>
          <w:strike w:val="false"/>
          <w:dstrike w:val="false"/>
          <w:outline w:val="false"/>
          <w:shadow w:val="false"/>
          <w:vanish w:val="false"/>
          <w:color w:val="000000"/>
          <w:spacing w:val="0"/>
          <w:w w:val="100"/>
          <w:kern w:val="2"/>
          <w:position w:val="0"/>
          <w:sz w:val="22"/>
          <w:sz w:val="22"/>
          <w:szCs w:val="22"/>
          <w:u w:val="none"/>
          <w:shd w:fill="auto" w:val="clear"/>
          <w:vertAlign w:val="baseline"/>
          <w:em w:val="none"/>
          <w:lang w:val="pt-BR" w:eastAsia="zxx" w:bidi="ar-SA"/>
        </w:rPr>
        <w:t>Em casos excepcionais, os exames poderão ser realizados aos sábados;</w:t>
      </w:r>
    </w:p>
    <w:p>
      <w:pPr>
        <w:pStyle w:val="Normal"/>
        <w:numPr>
          <w:ilvl w:val="0"/>
          <w:numId w:val="0"/>
        </w:numPr>
        <w:tabs>
          <w:tab w:val="clear" w:pos="709"/>
          <w:tab w:val="left" w:pos="0" w:leader="none"/>
        </w:tabs>
        <w:bidi w:val="0"/>
        <w:spacing w:lineRule="auto" w:line="36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13.16. </w:t>
      </w: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Nos casos de urgência e emergência, o atendimento deverá ser prestado no prazo de 24 (vinte e quatro) e 48 (quarenta e oito) horas, a conta da solicitação, incluindo sábado, domingos e feriados. Também deverá assegurar o atendimento dos pacientes internados que não possam se deslocar para a realização do exame, executando o procedimento diretamente no leito do Hospital Municipal Mariana Maria de Jesus, localizado na Avenida Amilcar Pereira da Silva, nº 138, Mapa de Pipa, Quissamã/RJ;</w:t>
      </w:r>
    </w:p>
    <w:p>
      <w:pPr>
        <w:pStyle w:val="Normal"/>
        <w:numPr>
          <w:ilvl w:val="0"/>
          <w:numId w:val="0"/>
        </w:numPr>
        <w:tabs>
          <w:tab w:val="clear" w:pos="709"/>
          <w:tab w:val="left" w:pos="0" w:leader="none"/>
        </w:tabs>
        <w:bidi w:val="0"/>
        <w:spacing w:lineRule="auto" w:line="360"/>
        <w:ind w:left="0" w:right="0" w:hanging="0"/>
        <w:jc w:val="both"/>
        <w:rPr>
          <w:rFonts w:ascii="Arial" w:hAnsi="Arial" w:cs="Arial"/>
          <w:b/>
          <w:b/>
          <w:bCs/>
          <w:caps w:val="false"/>
          <w:smallCaps w:val="false"/>
          <w:strike w:val="false"/>
          <w:dstrike w:val="false"/>
          <w:color w:val="000000"/>
          <w:sz w:val="22"/>
          <w:szCs w:val="22"/>
          <w:lang w:val="pt-BR"/>
        </w:rPr>
      </w:pPr>
      <w:r>
        <w:rPr>
          <w:rFonts w:cs="Arial" w:ascii="Arial" w:hAnsi="Arial"/>
          <w:b/>
          <w:bCs/>
          <w:caps w:val="false"/>
          <w:smallCaps w:val="false"/>
          <w:strike w:val="false"/>
          <w:dstrike w:val="false"/>
          <w:color w:val="000000"/>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13.17.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Deverá disponibilizar, no local previamente designado pela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Secretaria Municipal de Saúde de Quissamã</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todos os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equipamentos, insumos, materiais de proteção individual para seus profissionais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bem como quaisquer outros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materiais necessários à execução completa dos serviços;</w:t>
      </w:r>
    </w:p>
    <w:p>
      <w:pPr>
        <w:pStyle w:val="Normal"/>
        <w:numPr>
          <w:ilvl w:val="0"/>
          <w:numId w:val="0"/>
        </w:numPr>
        <w:tabs>
          <w:tab w:val="clear" w:pos="709"/>
          <w:tab w:val="left" w:pos="0" w:leader="none"/>
        </w:tabs>
        <w:bidi w:val="0"/>
        <w:spacing w:lineRule="auto" w:line="360"/>
        <w:ind w:left="0" w:right="0" w:hanging="0"/>
        <w:jc w:val="both"/>
        <w:rPr>
          <w:rFonts w:ascii="Arial" w:hAnsi="Arial" w:cs="Arial"/>
          <w:b/>
          <w:b/>
          <w:bCs/>
          <w:caps w:val="false"/>
          <w:smallCaps w:val="false"/>
          <w:strike w:val="false"/>
          <w:dstrike w:val="false"/>
          <w:color w:val="000000"/>
          <w:sz w:val="22"/>
          <w:szCs w:val="22"/>
          <w:lang w:val="pt-BR"/>
        </w:rPr>
      </w:pPr>
      <w:r>
        <w:rPr>
          <w:rFonts w:cs="Arial" w:ascii="Arial" w:hAnsi="Arial"/>
          <w:b/>
          <w:bCs/>
          <w:caps w:val="false"/>
          <w:smallCaps w:val="false"/>
          <w:strike w:val="false"/>
          <w:dstrike w:val="false"/>
          <w:color w:val="000000"/>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13.18.</w:t>
      </w:r>
      <w:r>
        <w:rPr>
          <w:rFonts w:cs="Arial" w:ascii="Arial" w:hAnsi="Arial"/>
          <w:caps w:val="false"/>
          <w:smallCaps w:val="false"/>
          <w:strike w:val="false"/>
          <w:dstrike w:val="false"/>
          <w:color w:val="000000"/>
          <w:sz w:val="22"/>
          <w:szCs w:val="22"/>
          <w:lang w:val="pt-BR"/>
        </w:rPr>
        <w:t xml:space="preserve"> </w:t>
      </w:r>
      <w:r>
        <w:rPr>
          <w:rFonts w:cs="arial" w:ascii="Arial" w:hAnsi="Arial"/>
          <w:caps w:val="false"/>
          <w:smallCaps w:val="false"/>
          <w:strike w:val="false"/>
          <w:dstrike w:val="false"/>
          <w:color w:val="000000"/>
          <w:sz w:val="22"/>
          <w:szCs w:val="22"/>
          <w:lang w:val="pt-BR"/>
        </w:rPr>
        <w:t xml:space="preserve">Deverá fornecer após o início do serviço, e sucessivamente, relação </w:t>
      </w:r>
      <w:r>
        <w:rPr>
          <w:rFonts w:eastAsia="SimSun" w:cs="arial" w:ascii="Arial" w:hAnsi="Arial"/>
          <w:b w:val="false"/>
          <w:bCs w:val="false"/>
          <w:i w:val="false"/>
          <w:iCs w:val="false"/>
          <w:caps w:val="false"/>
          <w:smallCaps w:val="false"/>
          <w:strike w:val="false"/>
          <w:dstrike w:val="false"/>
          <w:outline w:val="false"/>
          <w:color w:val="000000"/>
          <w:spacing w:val="0"/>
          <w:w w:val="100"/>
          <w:kern w:val="2"/>
          <w:position w:val="0"/>
          <w:sz w:val="22"/>
          <w:sz w:val="22"/>
          <w:szCs w:val="22"/>
          <w:u w:val="none"/>
          <w:vertAlign w:val="baseline"/>
          <w:em w:val="none"/>
          <w:lang w:val="pt-BR" w:eastAsia="zh-CN" w:bidi="hi-IN"/>
        </w:rPr>
        <w:t>mensal</w:t>
      </w:r>
      <w:r>
        <w:rPr>
          <w:rFonts w:cs="arial" w:ascii="Arial" w:hAnsi="Arial"/>
          <w:caps w:val="false"/>
          <w:smallCaps w:val="false"/>
          <w:strike w:val="false"/>
          <w:dstrike w:val="false"/>
          <w:color w:val="000000"/>
          <w:sz w:val="22"/>
          <w:szCs w:val="22"/>
          <w:lang w:val="pt-BR"/>
        </w:rPr>
        <w:t xml:space="preserve"> dos exames realizados, em conformidade com as solicitações originais referentes ao período devidamente autorizadas pela Secretaria Municipal de Saúde de Quissamã, para conferência do pagamento, acompanhado das certidões e demais documentos necessários para pagamento da nota fiscal;</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13.19.</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Deverá fornecer os laudos dos exames para a Secretaria Municipal de Saúde de Quissamã – ao setor do C</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vertAlign w:val="baseline"/>
          <w:em w:val="none"/>
          <w:lang w:val="pt-BR" w:eastAsia="zh-CN" w:bidi="hi-IN"/>
        </w:rPr>
        <w:t>omplexo Regulador Municipal de Quissamã</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no prazo máximo de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15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vertAlign w:val="baseline"/>
          <w:em w:val="none"/>
          <w:lang w:val="pt-BR" w:eastAsia="zh-CN" w:bidi="hi-IN"/>
        </w:rPr>
        <w:t>quinze</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 dias úteis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a conta</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xml:space="preserve">r da data de realização, e emitir segunda via do resultado quando houver necessidade mediante solicitação da Secretaria Municipal de Saúde.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A entrega dos resultados dos exames não poderá ultrapassar o prazo máximo de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single"/>
          <w:em w:val="none"/>
          <w:lang w:val="pt-BR"/>
        </w:rPr>
        <w:t>15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single"/>
          <w:vertAlign w:val="baseline"/>
          <w:em w:val="none"/>
          <w:lang w:val="pt-BR" w:eastAsia="zh-CN" w:bidi="hi-IN"/>
        </w:rPr>
        <w:t>quinze</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single"/>
          <w:em w:val="none"/>
          <w:lang w:val="pt-BR"/>
        </w:rPr>
        <w:t>) dias úteis;</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13.20.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Deverá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entregar os resultados dos exames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por meio de portador da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Central de Exames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ou diretamente no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Complexo Regulador Municipal de Quissamã</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sendo </w:t>
      </w:r>
      <w:r>
        <w:rPr>
          <w:rStyle w:val="Strong"/>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vedada a entrega dos laudos diretamente aos pacientes;</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lang w:val="pt-BR"/>
        </w:rPr>
      </w:pPr>
      <w:r>
        <w:rPr>
          <w:rFonts w:cs="Calibri"/>
          <w:caps w:val="false"/>
          <w:smallCaps w:val="false"/>
          <w:strike w:val="false"/>
          <w:dstrike w:val="false"/>
          <w:lang w:val="pt-BR"/>
        </w:rPr>
      </w:r>
    </w:p>
    <w:p>
      <w:pPr>
        <w:pStyle w:val="Normal"/>
        <w:numPr>
          <w:ilvl w:val="0"/>
          <w:numId w:val="0"/>
        </w:numPr>
        <w:tabs>
          <w:tab w:val="clear" w:pos="709"/>
          <w:tab w:val="left" w:pos="51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13.21.</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xml:space="preserve">Deverá manter equipamento de qualidade e profissionais devidamente qualificado, bem como possuir responsável técnico com título de especialista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h-CN" w:bidi="hi-IN"/>
        </w:rPr>
        <w:t>em diagnóstico por imagem</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registrado nos órgãos competentes, para realização dos procedimentos dentro das normas exigidas pelo Ministério da Saúde;</w:t>
      </w:r>
    </w:p>
    <w:p>
      <w:pPr>
        <w:pStyle w:val="Normal"/>
        <w:numPr>
          <w:ilvl w:val="0"/>
          <w:numId w:val="0"/>
        </w:numPr>
        <w:tabs>
          <w:tab w:val="clear" w:pos="709"/>
          <w:tab w:val="left" w:pos="510" w:leader="none"/>
        </w:tabs>
        <w:bidi w:val="0"/>
        <w:spacing w:lineRule="auto" w:line="360"/>
        <w:ind w:left="0" w:right="0" w:hanging="0"/>
        <w:jc w:val="both"/>
        <w:rPr>
          <w:rFonts w:cs="Calibri"/>
          <w:b w:val="false"/>
          <w:b w:val="false"/>
          <w:bCs w:val="false"/>
          <w:caps w:val="false"/>
          <w:smallCaps w:val="false"/>
          <w:strike w:val="false"/>
          <w:dstrike w:val="false"/>
          <w:sz w:val="22"/>
          <w:szCs w:val="22"/>
          <w:lang w:val="pt-BR"/>
        </w:rPr>
      </w:pPr>
      <w:r>
        <w:rPr>
          <w:rFonts w:cs="Calibri"/>
          <w:b w:val="false"/>
          <w:bCs w:val="false"/>
          <w:caps w:val="false"/>
          <w:smallCaps w:val="false"/>
          <w:strike w:val="false"/>
          <w:dstrike w:val="false"/>
          <w:sz w:val="22"/>
          <w:szCs w:val="22"/>
          <w:lang w:val="pt-BR"/>
        </w:rPr>
      </w:r>
    </w:p>
    <w:p>
      <w:pPr>
        <w:pStyle w:val="Normal"/>
        <w:numPr>
          <w:ilvl w:val="0"/>
          <w:numId w:val="0"/>
        </w:numPr>
        <w:tabs>
          <w:tab w:val="clear" w:pos="709"/>
          <w:tab w:val="left" w:pos="51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13.22.</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Deverá responsabilizar-se integralmente pelos seus profissionais, primando pela qualidade, desempenho, eficiência e produtividade, visando à execução dos trabalhos durante toda a vigência do contrato, dentro dos prazos e condições estipulados;</w:t>
      </w:r>
    </w:p>
    <w:p>
      <w:pPr>
        <w:pStyle w:val="Normal"/>
        <w:numPr>
          <w:ilvl w:val="0"/>
          <w:numId w:val="0"/>
        </w:numPr>
        <w:tabs>
          <w:tab w:val="clear" w:pos="709"/>
          <w:tab w:val="left" w:pos="510" w:leader="none"/>
        </w:tabs>
        <w:bidi w:val="0"/>
        <w:spacing w:lineRule="auto" w:line="360"/>
        <w:ind w:left="0" w:right="0" w:hanging="0"/>
        <w:jc w:val="both"/>
        <w:rPr>
          <w:rFonts w:cs="Calibri"/>
          <w:b w:val="false"/>
          <w:b w:val="false"/>
          <w:bCs w:val="false"/>
          <w:caps w:val="false"/>
          <w:smallCaps w:val="false"/>
          <w:strike w:val="false"/>
          <w:dstrike w:val="false"/>
          <w:sz w:val="22"/>
          <w:szCs w:val="22"/>
          <w:lang w:val="pt-BR"/>
        </w:rPr>
      </w:pPr>
      <w:r>
        <w:rPr>
          <w:rFonts w:cs="Calibri"/>
          <w:b w:val="false"/>
          <w:bCs w:val="false"/>
          <w:caps w:val="false"/>
          <w:smallCaps w:val="false"/>
          <w:strike w:val="false"/>
          <w:dstrike w:val="false"/>
          <w:sz w:val="22"/>
          <w:szCs w:val="22"/>
          <w:lang w:val="pt-BR"/>
        </w:rPr>
      </w:r>
    </w:p>
    <w:p>
      <w:pPr>
        <w:pStyle w:val="Normal"/>
        <w:widowControl w:val="false"/>
        <w:numPr>
          <w:ilvl w:val="0"/>
          <w:numId w:val="0"/>
        </w:numPr>
        <w:tabs>
          <w:tab w:val="clear" w:pos="709"/>
          <w:tab w:val="left" w:pos="510" w:leader="none"/>
        </w:tabs>
        <w:bidi w:val="0"/>
        <w:spacing w:lineRule="auto" w:line="360"/>
        <w:ind w:left="0" w:right="0" w:hanging="0"/>
        <w:jc w:val="both"/>
        <w:textAlignment w:val="baseline"/>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13.23.</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Deverá zelar pela guarda e conservação dos bens móveis e equipamentos, de propriedade da CONTRATANTE, disponibilizados para a execução do serviço;</w:t>
      </w:r>
    </w:p>
    <w:p>
      <w:pPr>
        <w:pStyle w:val="Normal"/>
        <w:widowControl w:val="false"/>
        <w:numPr>
          <w:ilvl w:val="0"/>
          <w:numId w:val="0"/>
        </w:numPr>
        <w:tabs>
          <w:tab w:val="clear" w:pos="709"/>
          <w:tab w:val="left" w:pos="458" w:leader="none"/>
          <w:tab w:val="left" w:pos="789" w:leader="none"/>
        </w:tabs>
        <w:bidi w:val="0"/>
        <w:spacing w:lineRule="auto" w:line="360"/>
        <w:ind w:left="0" w:right="0" w:hanging="0"/>
        <w:jc w:val="both"/>
        <w:textAlignment w:val="baseline"/>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val="false"/>
        <w:numPr>
          <w:ilvl w:val="0"/>
          <w:numId w:val="0"/>
        </w:numPr>
        <w:tabs>
          <w:tab w:val="clear" w:pos="709"/>
          <w:tab w:val="left" w:pos="458" w:leader="none"/>
          <w:tab w:val="left" w:pos="789" w:leader="none"/>
        </w:tabs>
        <w:bidi w:val="0"/>
        <w:spacing w:lineRule="auto" w:line="360"/>
        <w:ind w:left="0" w:right="0" w:hanging="0"/>
        <w:jc w:val="both"/>
        <w:textAlignment w:val="baseline"/>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13.24.</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Não poderá subcontratar, subempreitar, ceder ou transferir total ou parcialmente os serviços médicos objeto deste Instrumento, sem anuência formal da contratante;</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13.25.</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D</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everá responder por todos os danos causados ao CONTRATANTE;</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13.26.</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É responsável pelos encargos, trabalhistas, previdenciários, fiscais e comerciais, resultantes da execução dos serviços;</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13.27.</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em w:val="none"/>
          <w:lang w:val="pt-BR"/>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xml:space="preserve">Deverá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fornecer identificação individual (crachá) para todos os profissionais</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 xml:space="preserve">, cujo </w:t>
      </w:r>
      <w:r>
        <w:rPr>
          <w:rStyle w:val="Strong"/>
          <w:rFonts w:eastAsia="SimSu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auto" w:val="clear"/>
          <w:em w:val="none"/>
          <w:lang w:val="pt-BR"/>
        </w:rPr>
        <w:t>uso será obrigatório durante a execução dos serviços;</w:t>
      </w:r>
    </w:p>
    <w:p>
      <w:pPr>
        <w:pStyle w:val="Normal"/>
        <w:numPr>
          <w:ilvl w:val="0"/>
          <w:numId w:val="0"/>
        </w:numPr>
        <w:tabs>
          <w:tab w:val="clear" w:pos="709"/>
          <w:tab w:val="left" w:pos="0" w:leader="none"/>
        </w:tabs>
        <w:bidi w:val="0"/>
        <w:spacing w:lineRule="auto" w:line="360"/>
        <w:ind w:left="0" w:right="0" w:hanging="0"/>
        <w:jc w:val="both"/>
        <w:rPr>
          <w:rFonts w:cs="Calibri"/>
          <w:caps w:val="false"/>
          <w:smallCaps w:val="false"/>
          <w:strike w:val="false"/>
          <w:dstrike w:val="false"/>
          <w:sz w:val="22"/>
          <w:szCs w:val="22"/>
          <w:lang w:val="pt-BR"/>
        </w:rPr>
      </w:pPr>
      <w:r>
        <w:rPr>
          <w:rFonts w:cs="Calibri"/>
          <w:caps w:val="false"/>
          <w:smallCaps w:val="false"/>
          <w:strike w:val="false"/>
          <w:dstrike w:val="false"/>
          <w:sz w:val="22"/>
          <w:szCs w:val="22"/>
          <w:lang w:val="pt-BR"/>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13.28.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Deverá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assegurar a realização do exame solicitado, mesmo em caso de impedimento operacional, adotando todas as medidas necessárias para garantir a continuidade do atendimento, sem prejuízo ao CONTRATANTE, permanecendo integralmente responsável pela solução e pela não interrupção do serviço.</w:t>
      </w:r>
    </w:p>
    <w:p>
      <w:pPr>
        <w:pStyle w:val="Normal"/>
        <w:numPr>
          <w:ilvl w:val="0"/>
          <w:numId w:val="0"/>
        </w:numPr>
        <w:tabs>
          <w:tab w:val="clear" w:pos="709"/>
          <w:tab w:val="left" w:pos="0" w:leader="none"/>
        </w:tabs>
        <w:bidi w:val="0"/>
        <w:spacing w:lineRule="auto" w:line="36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13.29. </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Deverá notificar à CONTRATANTE, por escrito, qualquer alteração na sua razão social ou de seu contrato acionário e de mudança em sua Diretoria, contrato ou estatuto, apresentando no prazo máximo de 30 (trinta) dias, contados do registro da alteração, cópia autenticada da Certidão da Junta Comercial e/ou do Cartório do Registro Civil de Pessoas Jurídicas;</w:t>
      </w:r>
    </w:p>
    <w:p>
      <w:pPr>
        <w:pStyle w:val="Normal"/>
        <w:numPr>
          <w:ilvl w:val="0"/>
          <w:numId w:val="0"/>
        </w:numPr>
        <w:tabs>
          <w:tab w:val="clear" w:pos="709"/>
          <w:tab w:val="left" w:pos="0" w:leader="none"/>
        </w:tabs>
        <w:bidi w:val="0"/>
        <w:spacing w:lineRule="auto" w:line="36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13.30. Deverá assumir total responsabilidade, inclusive por seus sócios e colaboradores, em manter absoluto e irrestrito sigilo sobre o conteúdo das informações que digam respeito à CONTRATANTE, que vier a ter conhecimento por força da prestação dos serviços ora contratados, vindo a responder, portanto, por todo e qualquer dano que o descumprimento da obrigação aqui assumida venha a ocasionar ao CONTRATANTE;</w:t>
      </w:r>
    </w:p>
    <w:p>
      <w:pPr>
        <w:pStyle w:val="Normal"/>
        <w:numPr>
          <w:ilvl w:val="0"/>
          <w:numId w:val="0"/>
        </w:numPr>
        <w:tabs>
          <w:tab w:val="clear" w:pos="709"/>
          <w:tab w:val="left" w:pos="0" w:leader="none"/>
        </w:tabs>
        <w:bidi w:val="0"/>
        <w:spacing w:lineRule="auto" w:line="36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r>
    </w:p>
    <w:p>
      <w:pPr>
        <w:pStyle w:val="Normal"/>
        <w:numPr>
          <w:ilvl w:val="0"/>
          <w:numId w:val="0"/>
        </w:numPr>
        <w:tabs>
          <w:tab w:val="clear" w:pos="709"/>
          <w:tab w:val="left" w:pos="0" w:leader="none"/>
        </w:tabs>
        <w:bidi w:val="0"/>
        <w:spacing w:lineRule="auto" w:line="36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pt-BR" w:bidi="ar-SA"/>
        </w:rPr>
        <w:t xml:space="preserve">13.31. </w:t>
      </w: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Deverá zelar para que todas as informações, resultados, relatórios e quaisquer outros documentos obtidos ou elaborados na execução dos serviços contratados sejam de exclusiva propriedade da CONTRATANTE, não podendo utilizá-los para quaisquer fins, divulgá-los, reproduzi-los ou veiculá-los, salvo mediante prévia e expressa autorização da CONTRATANTE.</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b/>
          <w:b/>
          <w:bCs/>
          <w:sz w:val="22"/>
          <w:szCs w:val="22"/>
        </w:rPr>
      </w:pPr>
      <w:r>
        <w:rPr>
          <w:rFonts w:ascii="Arial" w:hAnsi="Arial"/>
          <w:b/>
          <w:bCs/>
          <w:sz w:val="22"/>
          <w:szCs w:val="22"/>
        </w:rPr>
        <w:t>14. CONDIÇÕES GERAIS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cs="Arial"/>
          <w:b/>
          <w:b/>
          <w:bCs/>
          <w:color w:val="000000"/>
          <w:sz w:val="22"/>
          <w:szCs w:val="22"/>
        </w:rPr>
      </w:pPr>
      <w:r>
        <w:rPr>
          <w:rFonts w:cs="Arial" w:ascii="Arial" w:hAnsi="Arial"/>
          <w:b/>
          <w:bCs/>
          <w:color w:val="000000"/>
          <w:sz w:val="22"/>
          <w:szCs w:val="22"/>
        </w:rPr>
      </w:r>
    </w:p>
    <w:p>
      <w:pPr>
        <w:pStyle w:val="Normal"/>
        <w:widowControl/>
        <w:tabs>
          <w:tab w:val="clear" w:pos="709"/>
          <w:tab w:val="left" w:pos="0" w:leader="none"/>
        </w:tabs>
        <w:suppressAutoHyphens w:val="true"/>
        <w:bidi w:val="0"/>
        <w:spacing w:lineRule="auto" w:line="360" w:before="0" w:after="0"/>
        <w:ind w:left="0" w:right="0" w:hanging="0"/>
        <w:jc w:val="both"/>
        <w:rPr/>
      </w:pPr>
      <w:r>
        <w:rPr>
          <w:rFonts w:cs="Arial" w:ascii="Arial" w:hAnsi="Arial"/>
          <w:b w:val="false"/>
          <w:bCs w:val="false"/>
          <w:color w:val="000000"/>
          <w:sz w:val="22"/>
          <w:szCs w:val="22"/>
        </w:rPr>
        <w:t xml:space="preserve">14.1. </w:t>
      </w:r>
      <w:r>
        <w:rPr>
          <w:rStyle w:val="Fontepargpadro2"/>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xml:space="preserve">Os serviços serão realizados na cidade de Quissamã, em horário comercial, de segunda-feira a sexta-feira, das 8h às 17h, para a execução dos exames de rotina. Em casos excepcionais, os exames poderão ser realizados aos sábados. Os exames deverão ser realizados pela CONTRATADA no </w:t>
      </w:r>
      <w:r>
        <w:rPr>
          <w:rStyle w:val="Strong"/>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Centro de Saúde Benedito Pinto das Chagas</w:t>
      </w:r>
      <w:r>
        <w:rPr>
          <w:rStyle w:val="Fontepargpadro2"/>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xml:space="preserve">, localizado na </w:t>
      </w:r>
      <w:r>
        <w:rPr>
          <w:rStyle w:val="Fontepargpadro"/>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en-US" w:bidi="ar-SA"/>
        </w:rPr>
        <w:t>Avenida Francisco de Assis Carneiro da Silva, nº 560, Alto Alegre, Quissamã/RJ,</w:t>
      </w:r>
      <w:r>
        <w:rPr>
          <w:rStyle w:val="Fontepargpadro2"/>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xml:space="preserve"> em local adequado disponibilizado pela </w:t>
      </w:r>
      <w:r>
        <w:rPr>
          <w:rStyle w:val="Strong"/>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Secretaria Municipal de Saúde de Quissamã</w:t>
      </w:r>
      <w:r>
        <w:rPr>
          <w:rStyle w:val="Fontepargpadro2"/>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garantindo as condições adequadas para a execução segura e eficiente dos exames.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Comic Sans MS"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pPr>
      <w:r>
        <w:rPr>
          <w:rFonts w:eastAsia="Comic Sans MS"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cs="Arial"/>
          <w:b w:val="false"/>
          <w:b w:val="false"/>
          <w:bCs w:val="false"/>
          <w:sz w:val="22"/>
          <w:szCs w:val="22"/>
        </w:rPr>
      </w:pPr>
      <w:r>
        <w:rPr>
          <w:rStyle w:val="Fontepargpadro2"/>
          <w:rFonts w:eastAsia="SimSun;宋体"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hi-IN"/>
        </w:rPr>
        <w:t xml:space="preserve">14.1.1. </w:t>
      </w:r>
      <w:r>
        <w:rPr>
          <w:rStyle w:val="Fontepargpadro2"/>
          <w:rFonts w:eastAsia="SimSun;宋体"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hi-IN"/>
        </w:rPr>
        <w:t>Nos casos de urgência e emergência, o atendimento deverá ser prestado no prazo de 24 (vinte e quatro) a 48 (quarenta e oito) horas, a contar da solicitação, incluindo sábados, domingos e feriados.</w:t>
      </w:r>
      <w:r>
        <w:rPr>
          <w:rStyle w:val="Fontepargpadro2"/>
          <w:rFonts w:eastAsia="SimSun;宋体"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hi-IN"/>
        </w:rPr>
        <w:t xml:space="preserve"> A CONTRATADA</w:t>
      </w: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 xml:space="preserve"> deverá atender os pacientes internados no Hospital Municipal que não possam se deslocar para a realização do exame, devendo executar o procedimento diretamente no leito do Hospital Municipal Mariana Maria de Jesus, localizado na Avenida Amilcar Pereira da Silva, nº 138, Mapa de Pipa, Quissamã/RJ.</w:t>
      </w:r>
    </w:p>
    <w:p>
      <w:pPr>
        <w:pStyle w:val="Corpodotexto"/>
        <w:spacing w:lineRule="auto" w:line="360" w:before="0" w:after="26"/>
        <w:jc w:val="both"/>
        <w:rPr>
          <w:rFonts w:ascii="Arial" w:hAnsi="Arial"/>
          <w:b w:val="false"/>
          <w:b w:val="false"/>
          <w:bCs w:val="false"/>
          <w:sz w:val="22"/>
          <w:szCs w:val="22"/>
        </w:rPr>
      </w:pPr>
      <w:r>
        <w:rPr>
          <w:rFonts w:ascii="Arial" w:hAnsi="Arial"/>
          <w:b w:val="false"/>
          <w:bCs w:val="false"/>
          <w:sz w:val="22"/>
          <w:szCs w:val="22"/>
        </w:rPr>
      </w:r>
    </w:p>
    <w:p>
      <w:pPr>
        <w:pStyle w:val="Corpodotexto"/>
        <w:spacing w:lineRule="auto" w:line="360" w:before="0" w:after="26"/>
        <w:jc w:val="both"/>
        <w:rPr/>
      </w:pPr>
      <w:r>
        <w:rPr>
          <w:rFonts w:ascii="Arial" w:hAnsi="Arial"/>
          <w:b w:val="false"/>
          <w:bCs w:val="false"/>
          <w:sz w:val="22"/>
          <w:szCs w:val="22"/>
        </w:rPr>
        <w:t>14.2.</w:t>
      </w:r>
      <w:r>
        <w:rPr>
          <w:rFonts w:ascii="Arial" w:hAnsi="Arial"/>
          <w:b/>
          <w:bCs/>
          <w:sz w:val="22"/>
          <w:szCs w:val="22"/>
        </w:rPr>
        <w:t xml:space="preserve"> </w:t>
      </w:r>
      <w:r>
        <w:rPr>
          <w:rStyle w:val="Fontepargpadro2"/>
          <w:rFonts w:cs="Arial" w:ascii="Arial" w:hAnsi="Arial"/>
          <w:sz w:val="22"/>
          <w:szCs w:val="22"/>
        </w:rPr>
        <w:t>O recebimento do objeto não implica a sua aceitação definitiva, uma vez que dependerá da análise do gestor/fiscal, que deverão verificar o atendimento a todas as especificações, contidas no Termo de Referência e no Edital.</w:t>
      </w:r>
    </w:p>
    <w:p>
      <w:pPr>
        <w:pStyle w:val="Corpodotexto"/>
        <w:spacing w:lineRule="auto" w:line="360" w:before="0" w:after="0"/>
        <w:jc w:val="both"/>
        <w:rPr>
          <w:rFonts w:ascii="Arial" w:hAnsi="Arial"/>
          <w:sz w:val="22"/>
          <w:szCs w:val="22"/>
        </w:rPr>
      </w:pPr>
      <w:r>
        <w:rPr>
          <w:rFonts w:ascii="Arial" w:hAnsi="Arial"/>
          <w:sz w:val="22"/>
          <w:szCs w:val="22"/>
        </w:rPr>
      </w:r>
    </w:p>
    <w:p>
      <w:pPr>
        <w:pStyle w:val="Corpodotexto"/>
        <w:spacing w:lineRule="auto" w:line="360" w:before="0" w:after="0"/>
        <w:jc w:val="both"/>
        <w:rPr/>
      </w:pPr>
      <w:r>
        <w:rPr>
          <w:rFonts w:ascii="Arial" w:hAnsi="Arial"/>
          <w:b w:val="false"/>
          <w:bCs w:val="false"/>
          <w:sz w:val="22"/>
          <w:szCs w:val="22"/>
        </w:rPr>
        <w:t>14.3.</w:t>
      </w:r>
      <w:r>
        <w:rPr>
          <w:rFonts w:ascii="Arial" w:hAnsi="Arial"/>
          <w:sz w:val="22"/>
          <w:szCs w:val="22"/>
        </w:rPr>
        <w:t xml:space="preserve"> </w:t>
      </w:r>
      <w:r>
        <w:rPr>
          <w:rStyle w:val="Fontepargpadro2"/>
          <w:rFonts w:cs="Arial" w:ascii="Arial" w:hAnsi="Arial"/>
          <w:sz w:val="22"/>
          <w:szCs w:val="22"/>
        </w:rPr>
        <w:t>O</w:t>
      </w:r>
      <w:r>
        <w:rPr>
          <w:rStyle w:val="Fontepargpadro2"/>
          <w:rFonts w:cs="Arial" w:ascii="Arial" w:hAnsi="Arial"/>
          <w:b/>
          <w:bCs/>
          <w:sz w:val="22"/>
          <w:szCs w:val="22"/>
        </w:rPr>
        <w:t xml:space="preserve"> recebimento provisório</w:t>
      </w:r>
      <w:r>
        <w:rPr>
          <w:rStyle w:val="Fontepargpadro2"/>
          <w:rFonts w:cs="Arial" w:ascii="Arial" w:hAnsi="Arial"/>
          <w:sz w:val="22"/>
          <w:szCs w:val="22"/>
        </w:rPr>
        <w:t xml:space="preserve"> dar-se-á de forma sumária, no ato da entrega de cada parcela ou parcela única do objeto por parte da empresa, mediante Termo de Recebimento Provisório atestado, pelo fiscal da Ata, em conjunto ou não com o Gestor.</w:t>
      </w:r>
    </w:p>
    <w:p>
      <w:pPr>
        <w:pStyle w:val="Corpodotexto"/>
        <w:spacing w:lineRule="auto" w:line="360" w:before="0" w:after="0"/>
        <w:jc w:val="both"/>
        <w:rPr>
          <w:rFonts w:ascii="Arial" w:hAnsi="Arial"/>
          <w:sz w:val="22"/>
          <w:szCs w:val="22"/>
        </w:rPr>
      </w:pPr>
      <w:r>
        <w:rPr>
          <w:rFonts w:ascii="Arial" w:hAnsi="Arial"/>
          <w:sz w:val="22"/>
          <w:szCs w:val="22"/>
        </w:rPr>
      </w:r>
    </w:p>
    <w:p>
      <w:pPr>
        <w:pStyle w:val="Corpodotexto"/>
        <w:spacing w:lineRule="auto" w:line="360" w:before="0" w:after="0"/>
        <w:jc w:val="both"/>
        <w:rPr/>
      </w:pPr>
      <w:r>
        <w:rPr>
          <w:rFonts w:eastAsia="Times New Roman" w:cs="Arial" w:ascii="Arial" w:hAnsi="Arial"/>
          <w:b w:val="false"/>
          <w:bCs w:val="false"/>
          <w:color w:val="000000"/>
          <w:sz w:val="22"/>
          <w:szCs w:val="22"/>
        </w:rPr>
        <w:t xml:space="preserve">14.4. </w:t>
      </w:r>
      <w:r>
        <w:rPr>
          <w:rStyle w:val="Fontepargpadro2"/>
          <w:rFonts w:eastAsia="Times New Roman" w:cs="Arial" w:ascii="Arial" w:hAnsi="Arial"/>
          <w:b w:val="false"/>
          <w:bCs w:val="false"/>
          <w:color w:val="000000"/>
          <w:sz w:val="22"/>
          <w:szCs w:val="22"/>
        </w:rPr>
        <w:t xml:space="preserve">O recebimento definitivo dar-se-á em até </w:t>
      </w:r>
      <w:r>
        <w:rPr>
          <w:rStyle w:val="Fontepargpadro2"/>
          <w:rFonts w:eastAsia="Times New Roman" w:cs="Arial" w:ascii="Arial" w:hAnsi="Arial"/>
          <w:b/>
          <w:bCs/>
          <w:color w:val="000000"/>
          <w:sz w:val="22"/>
          <w:szCs w:val="22"/>
        </w:rPr>
        <w:t>60 (sessenta) dias do recebimento provisório</w:t>
      </w:r>
      <w:r>
        <w:rPr>
          <w:rStyle w:val="Fontepargpadro2"/>
          <w:rFonts w:eastAsia="Times New Roman" w:cs="Arial" w:ascii="Arial" w:hAnsi="Arial"/>
          <w:b w:val="false"/>
          <w:bCs w:val="false"/>
          <w:color w:val="000000"/>
          <w:sz w:val="22"/>
          <w:szCs w:val="22"/>
        </w:rPr>
        <w:t xml:space="preserve">, mediante termo detalhado que comprove o atendimento das exigências contratuais, emitido e atestado </w:t>
      </w:r>
      <w:r>
        <w:rPr>
          <w:rStyle w:val="Fontepargpadro2"/>
          <w:rFonts w:eastAsia="SimSun;宋体" w:cs="Arial" w:ascii="Arial" w:hAnsi="Arial"/>
          <w:b w:val="false"/>
          <w:bCs w:val="false"/>
          <w:color w:val="000000"/>
          <w:kern w:val="2"/>
          <w:sz w:val="22"/>
          <w:szCs w:val="22"/>
          <w:lang w:bidi="hi-IN"/>
        </w:rPr>
        <w:t>pelo gestor da Ata em conjunto ou não com o fiscal.</w:t>
      </w:r>
    </w:p>
    <w:p>
      <w:pPr>
        <w:pStyle w:val="Corpodotexto"/>
        <w:spacing w:lineRule="auto" w:line="360" w:before="0" w:after="0"/>
        <w:jc w:val="both"/>
        <w:rPr>
          <w:sz w:val="22"/>
          <w:szCs w:val="22"/>
        </w:rPr>
      </w:pPr>
      <w:r>
        <w:rPr>
          <w:sz w:val="22"/>
          <w:szCs w:val="22"/>
        </w:rPr>
      </w:r>
    </w:p>
    <w:p>
      <w:pPr>
        <w:pStyle w:val="Normal"/>
        <w:widowControl w:val="false"/>
        <w:suppressAutoHyphens w:val="true"/>
        <w:spacing w:lineRule="auto" w:line="360" w:before="0" w:after="0"/>
        <w:jc w:val="both"/>
        <w:textAlignment w:val="baseline"/>
        <w:rPr/>
      </w:pPr>
      <w:r>
        <w:rPr>
          <w:rStyle w:val="Fontepargpadro2"/>
          <w:rFonts w:eastAsia="SimSun;宋体" w:cs="Arial" w:ascii="Arial" w:hAnsi="Arial"/>
          <w:b w:val="false"/>
          <w:bCs w:val="false"/>
          <w:color w:val="000000"/>
          <w:kern w:val="2"/>
          <w:sz w:val="22"/>
          <w:szCs w:val="22"/>
          <w:lang w:bidi="hi-IN"/>
        </w:rPr>
        <w:t xml:space="preserve">14.5. As inconformidades deverão ser sanadas no prazo máximo de </w:t>
      </w:r>
      <w:r>
        <w:rPr>
          <w:rStyle w:val="Fontepargpadro2"/>
          <w:rFonts w:eastAsia="SimSun;宋体" w:cs="Arial" w:ascii="Arial" w:hAnsi="Arial"/>
          <w:b/>
          <w:bCs/>
          <w:color w:val="000000"/>
          <w:kern w:val="2"/>
          <w:sz w:val="22"/>
          <w:szCs w:val="22"/>
          <w:lang w:eastAsia="zh-CN" w:bidi="hi-IN"/>
        </w:rPr>
        <w:t>05 (cinco) dias uteis</w:t>
      </w:r>
      <w:r>
        <w:rPr>
          <w:rStyle w:val="Fontepargpadro2"/>
          <w:rFonts w:eastAsia="SimSun;宋体" w:cs="Arial" w:ascii="Arial" w:hAnsi="Arial"/>
          <w:b w:val="false"/>
          <w:bCs w:val="false"/>
          <w:color w:val="000000"/>
          <w:kern w:val="2"/>
          <w:sz w:val="22"/>
          <w:szCs w:val="22"/>
          <w:lang w:eastAsia="zh-CN" w:bidi="hi-IN"/>
        </w:rPr>
        <w:t>,</w:t>
      </w:r>
      <w:r>
        <w:rPr>
          <w:rStyle w:val="Fontepargpadro2"/>
          <w:rFonts w:eastAsia="SimSun;宋体" w:cs="Arial" w:ascii="Arial" w:hAnsi="Arial"/>
          <w:b w:val="false"/>
          <w:bCs w:val="false"/>
          <w:color w:val="000000"/>
          <w:kern w:val="2"/>
          <w:sz w:val="22"/>
          <w:szCs w:val="22"/>
          <w:lang w:bidi="hi-IN"/>
        </w:rPr>
        <w:t xml:space="preserve"> contados do recebimento pela empresa da notificação por escrito, mantido o preço inicialmente ofertado.</w:t>
      </w:r>
    </w:p>
    <w:p>
      <w:pPr>
        <w:pStyle w:val="Normal"/>
        <w:widowControl w:val="false"/>
        <w:suppressAutoHyphens w:val="true"/>
        <w:spacing w:lineRule="auto" w:line="360" w:before="0" w:after="0"/>
        <w:jc w:val="both"/>
        <w:textAlignment w:val="baseline"/>
        <w:rPr>
          <w:rFonts w:ascii="Arial" w:hAnsi="Arial"/>
          <w:sz w:val="22"/>
          <w:szCs w:val="22"/>
        </w:rPr>
      </w:pPr>
      <w:r>
        <w:rPr>
          <w:rFonts w:ascii="Arial" w:hAnsi="Arial"/>
          <w:sz w:val="22"/>
          <w:szCs w:val="22"/>
        </w:rPr>
      </w:r>
    </w:p>
    <w:p>
      <w:pPr>
        <w:pStyle w:val="Normal"/>
        <w:widowControl w:val="false"/>
        <w:suppressAutoHyphens w:val="true"/>
        <w:spacing w:lineRule="auto" w:line="360" w:before="0" w:after="0"/>
        <w:jc w:val="both"/>
        <w:textAlignment w:val="baseline"/>
        <w:rPr/>
      </w:pPr>
      <w:r>
        <w:rPr>
          <w:rFonts w:cs="Arial" w:ascii="Arial" w:hAnsi="Arial"/>
          <w:color w:val="000000"/>
          <w:sz w:val="22"/>
          <w:szCs w:val="22"/>
        </w:rPr>
        <w:t xml:space="preserve">14.6. </w:t>
      </w:r>
      <w:r>
        <w:rPr>
          <w:rFonts w:cs="Arial" w:ascii="Arial" w:hAnsi="Arial"/>
          <w:b w:val="false"/>
          <w:bCs w:val="false"/>
          <w:color w:val="000000"/>
          <w:sz w:val="22"/>
          <w:szCs w:val="22"/>
        </w:rPr>
        <w:t>A</w:t>
      </w:r>
      <w:r>
        <w:rPr>
          <w:rFonts w:cs="Arial" w:ascii="Arial" w:hAnsi="Arial"/>
          <w:color w:val="000000"/>
          <w:sz w:val="22"/>
          <w:szCs w:val="22"/>
        </w:rPr>
        <w:t xml:space="preserve">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Fonts w:cs="Arial" w:ascii="Arial" w:hAnsi="Arial"/>
          <w:color w:val="000000"/>
          <w:sz w:val="22"/>
          <w:szCs w:val="22"/>
        </w:rPr>
        <w:t xml:space="preserve"> deve garantir uma logística eficiente e precisa, assegurando que os itens propostos sejam disponibilizados no local, na quantidade e nas especificações exatas solicitadas, sem falhas ou atrasos.</w:t>
      </w:r>
    </w:p>
    <w:p>
      <w:pPr>
        <w:pStyle w:val="Normal"/>
        <w:widowControl w:val="false"/>
        <w:suppressAutoHyphens w:val="true"/>
        <w:spacing w:lineRule="auto" w:line="360" w:before="0" w:after="0"/>
        <w:jc w:val="both"/>
        <w:textAlignment w:val="baseline"/>
        <w:rPr>
          <w:rFonts w:ascii="Arial" w:hAnsi="Arial" w:cs="Arial"/>
          <w:color w:val="000000"/>
          <w:sz w:val="22"/>
          <w:szCs w:val="22"/>
        </w:rPr>
      </w:pPr>
      <w:r>
        <w:rPr>
          <w:rFonts w:cs="Arial" w:ascii="Arial" w:hAnsi="Arial"/>
          <w:color w:val="000000"/>
          <w:sz w:val="22"/>
          <w:szCs w:val="22"/>
        </w:rPr>
      </w:r>
    </w:p>
    <w:p>
      <w:pPr>
        <w:pStyle w:val="Normal"/>
        <w:tabs>
          <w:tab w:val="clear" w:pos="709"/>
          <w:tab w:val="left" w:pos="0" w:leader="none"/>
        </w:tabs>
        <w:bidi w:val="0"/>
        <w:spacing w:lineRule="auto" w:line="360"/>
        <w:ind w:left="0" w:right="0" w:hanging="0"/>
        <w:jc w:val="both"/>
        <w:rPr/>
      </w:pPr>
      <w:r>
        <w:rPr>
          <w:rStyle w:val="Fontepargpadro"/>
          <w:rFonts w:cs="Arial" w:ascii="Arial" w:hAnsi="Arial"/>
          <w:b w:val="false"/>
          <w:bCs w:val="false"/>
          <w:color w:val="000000"/>
          <w:sz w:val="22"/>
          <w:szCs w:val="22"/>
          <w:shd w:fill="auto" w:val="clear"/>
        </w:rPr>
        <w:t>14.7. A Empresa é responsável por assumir os riscos a ela atribuídos na Matriz de Alocação de Riscos – MAR, bem como todas as ações preventiva e contingenciais necessárias ao pleno cumprimento do objeto.</w:t>
      </w:r>
    </w:p>
    <w:p>
      <w:pPr>
        <w:pStyle w:val="Normal"/>
        <w:spacing w:lineRule="auto" w:line="360"/>
        <w:jc w:val="both"/>
        <w:rPr>
          <w:rFonts w:ascii="Arial" w:hAnsi="Arial"/>
          <w:sz w:val="22"/>
          <w:szCs w:val="22"/>
        </w:rPr>
      </w:pPr>
      <w:r>
        <w:rPr>
          <w:rFonts w:ascii="Arial" w:hAnsi="Arial"/>
          <w:sz w:val="22"/>
          <w:szCs w:val="22"/>
        </w:rPr>
      </w:r>
    </w:p>
    <w:p>
      <w:pPr>
        <w:pStyle w:val="Normal"/>
        <w:spacing w:lineRule="auto" w:line="360"/>
        <w:jc w:val="both"/>
        <w:rPr>
          <w:rFonts w:ascii="Arial" w:hAnsi="Arial" w:cs="Arial"/>
          <w:sz w:val="22"/>
          <w:szCs w:val="22"/>
        </w:rPr>
      </w:pPr>
      <w:r>
        <w:rPr>
          <w:rFonts w:cs="Arial" w:ascii="Arial" w:hAnsi="Arial"/>
          <w:sz w:val="22"/>
          <w:szCs w:val="22"/>
        </w:rPr>
        <w:t xml:space="preserve">14.8. É imprescindível que a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ADJUDICATÁRIA</w:t>
      </w:r>
      <w:r>
        <w:rPr>
          <w:rFonts w:cs="Arial" w:ascii="Arial" w:hAnsi="Arial"/>
          <w:sz w:val="22"/>
          <w:szCs w:val="22"/>
        </w:rPr>
        <w:t xml:space="preserve"> siga estritamente todas as normas e regulamentações aplicáveis ao serviço, inclusive visando sempre a saúde e segurança dos subordinados, bem como das instalações públicas.</w:t>
      </w:r>
    </w:p>
    <w:p>
      <w:pPr>
        <w:pStyle w:val="Normal"/>
        <w:spacing w:lineRule="auto" w:line="360"/>
        <w:jc w:val="both"/>
        <w:rPr>
          <w:rFonts w:ascii="Arial" w:hAnsi="Arial" w:cs="Arial"/>
          <w:color w:val="000000"/>
          <w:sz w:val="22"/>
          <w:szCs w:val="22"/>
        </w:rPr>
      </w:pPr>
      <w:r>
        <w:rPr>
          <w:rFonts w:cs="Arial" w:ascii="Arial" w:hAnsi="Arial"/>
          <w:color w:val="000000"/>
          <w:sz w:val="22"/>
          <w:szCs w:val="22"/>
        </w:rPr>
      </w:r>
    </w:p>
    <w:p>
      <w:pPr>
        <w:pStyle w:val="Nivel2"/>
        <w:numPr>
          <w:ilvl w:val="0"/>
          <w:numId w:val="0"/>
        </w:numPr>
        <w:spacing w:lineRule="auto" w:line="360" w:before="63" w:after="63"/>
        <w:ind w:left="0" w:right="0" w:hanging="0"/>
        <w:rPr/>
      </w:pPr>
      <w:r>
        <w:rPr>
          <w:sz w:val="22"/>
          <w:szCs w:val="22"/>
        </w:rPr>
        <w:t>14.9. As condições gerais de execução do objeto, tais como os prazos para entrega e recebimento, as obrigações da Administração e do fornecedor registrado, penalidades e demais condições do ajuste, encontram-se definidos no Termo de Referência, ANEXO</w:t>
      </w:r>
      <w:r>
        <w:rPr>
          <w:color w:val="auto"/>
          <w:sz w:val="22"/>
          <w:szCs w:val="22"/>
        </w:rPr>
        <w:t xml:space="preserve"> </w:t>
      </w:r>
      <w:r>
        <w:rPr>
          <w:i/>
          <w:color w:val="auto"/>
          <w:sz w:val="22"/>
          <w:szCs w:val="22"/>
        </w:rPr>
        <w:t>AO EDITAL.</w:t>
      </w:r>
    </w:p>
    <w:p>
      <w:pPr>
        <w:pStyle w:val="Nivel2"/>
        <w:numPr>
          <w:ilvl w:val="0"/>
          <w:numId w:val="0"/>
        </w:numPr>
        <w:spacing w:lineRule="auto" w:line="360" w:before="63" w:after="63"/>
        <w:ind w:left="0" w:right="0" w:hanging="0"/>
        <w:rPr>
          <w:sz w:val="22"/>
          <w:szCs w:val="22"/>
        </w:rPr>
      </w:pPr>
      <w:r>
        <w:rPr>
          <w:sz w:val="22"/>
          <w:szCs w:val="22"/>
        </w:rPr>
      </w:r>
    </w:p>
    <w:p>
      <w:pPr>
        <w:pStyle w:val="Normal"/>
        <w:widowControl w:val="false"/>
        <w:bidi w:val="0"/>
        <w:spacing w:lineRule="auto" w:line="360"/>
        <w:jc w:val="both"/>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tab/>
        <w:t>Fica eleito o foro da Comarca de Carapebus – Quissamã / RJ, excluído qualquer outro para dirimir dúvidas ou questões oriundas desta Ata e do procedimento licitatório que a precedeu.</w:t>
        <w:tab/>
      </w:r>
    </w:p>
    <w:p>
      <w:pPr>
        <w:pStyle w:val="Normal"/>
        <w:widowControl w:val="false"/>
        <w:bidi w:val="0"/>
        <w:spacing w:lineRule="auto" w:line="360"/>
        <w:jc w:val="both"/>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r>
    </w:p>
    <w:p>
      <w:pPr>
        <w:pStyle w:val="Normal"/>
        <w:widowControl w:val="false"/>
        <w:bidi w:val="0"/>
        <w:spacing w:lineRule="auto" w:line="360"/>
        <w:jc w:val="both"/>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r>
    </w:p>
    <w:p>
      <w:pPr>
        <w:pStyle w:val="Normal"/>
        <w:widowControl w:val="false"/>
        <w:spacing w:lineRule="auto" w:line="360" w:before="120" w:after="120"/>
        <w:jc w:val="both"/>
        <w:rPr/>
      </w:pPr>
      <w:r>
        <w:rPr>
          <w:rFonts w:cs="Arial" w:ascii="Arial" w:hAnsi="Arial"/>
          <w:sz w:val="22"/>
          <w:szCs w:val="22"/>
        </w:rPr>
        <w:tab/>
        <w:t>Para firmeza e validade do pactuado, a presente Ata foi lavrada em 04</w:t>
      </w:r>
      <w:r>
        <w:rPr>
          <w:rFonts w:cs="Arial" w:ascii="Arial" w:hAnsi="Arial"/>
          <w:color w:val="auto"/>
          <w:sz w:val="22"/>
          <w:szCs w:val="22"/>
        </w:rPr>
        <w:t xml:space="preserve"> (quatro) </w:t>
      </w:r>
      <w:r>
        <w:rPr>
          <w:rFonts w:cs="Arial" w:ascii="Arial" w:hAnsi="Arial"/>
          <w:sz w:val="22"/>
          <w:szCs w:val="22"/>
        </w:rPr>
        <w:t>vias de igual teor, que, depois de lida e achada em ordem, vai assinada pelas partes</w:t>
      </w:r>
      <w:r>
        <w:rPr>
          <w:rFonts w:cs="Arial" w:ascii="Arial" w:hAnsi="Arial"/>
          <w:color w:val="auto"/>
          <w:sz w:val="22"/>
          <w:szCs w:val="22"/>
        </w:rPr>
        <w:t xml:space="preserve"> </w:t>
      </w:r>
      <w:r>
        <w:rPr>
          <w:rFonts w:cs="Arial" w:ascii="Arial" w:hAnsi="Arial"/>
          <w:i/>
          <w:iCs/>
          <w:color w:val="auto"/>
          <w:sz w:val="22"/>
          <w:szCs w:val="22"/>
        </w:rPr>
        <w:t xml:space="preserve">e encaminhada cópia aos demais órgãos participantes (se houver). </w:t>
      </w:r>
    </w:p>
    <w:p>
      <w:pPr>
        <w:pStyle w:val="Normal"/>
        <w:widowControl w:val="false"/>
        <w:spacing w:lineRule="atLeast" w:line="291"/>
        <w:jc w:val="center"/>
        <w:rPr>
          <w:rFonts w:ascii="Arial" w:hAnsi="Arial" w:eastAsia="Arial" w:cs="Arial"/>
          <w:color w:val="000000"/>
          <w:kern w:val="2"/>
          <w:sz w:val="22"/>
          <w:szCs w:val="22"/>
          <w:lang w:val="pt-BR" w:eastAsia="zh-CN" w:bidi="ar-SA"/>
        </w:rPr>
      </w:pPr>
      <w:r>
        <w:rPr>
          <w:rFonts w:eastAsia="Arial" w:cs="Arial" w:ascii="Arial" w:hAnsi="Arial"/>
          <w:color w:val="000000"/>
          <w:kern w:val="2"/>
          <w:sz w:val="22"/>
          <w:szCs w:val="22"/>
          <w:lang w:val="pt-BR" w:eastAsia="zh-CN" w:bidi="ar-SA"/>
        </w:rPr>
      </w:r>
    </w:p>
    <w:p>
      <w:pPr>
        <w:pStyle w:val="Normal"/>
        <w:widowControl w:val="false"/>
        <w:spacing w:lineRule="atLeast" w:line="291"/>
        <w:jc w:val="center"/>
        <w:rPr>
          <w:rFonts w:ascii="Arial" w:hAnsi="Arial" w:eastAsia="Arial" w:cs="Arial"/>
          <w:color w:val="000000"/>
          <w:kern w:val="2"/>
          <w:sz w:val="22"/>
          <w:szCs w:val="22"/>
          <w:lang w:val="pt-BR" w:eastAsia="zh-CN" w:bidi="ar-SA"/>
        </w:rPr>
      </w:pPr>
      <w:r>
        <w:rPr>
          <w:rFonts w:eastAsia="Arial" w:cs="Arial" w:ascii="Arial" w:hAnsi="Arial"/>
          <w:color w:val="000000"/>
          <w:kern w:val="2"/>
          <w:sz w:val="22"/>
          <w:szCs w:val="22"/>
          <w:lang w:val="pt-BR" w:eastAsia="zh-CN" w:bidi="ar-SA"/>
        </w:rPr>
      </w:r>
    </w:p>
    <w:p>
      <w:pPr>
        <w:pStyle w:val="Normal"/>
        <w:widowControl w:val="false"/>
        <w:spacing w:lineRule="atLeast" w:line="291"/>
        <w:jc w:val="center"/>
        <w:rPr>
          <w:rFonts w:ascii="Arial" w:hAnsi="Arial" w:eastAsia="Arial" w:cs="Arial"/>
          <w:color w:val="000000"/>
          <w:kern w:val="2"/>
          <w:sz w:val="22"/>
          <w:szCs w:val="22"/>
          <w:lang w:val="pt-BR" w:eastAsia="zh-CN" w:bidi="ar-SA"/>
        </w:rPr>
      </w:pPr>
      <w:r>
        <w:rPr>
          <w:rFonts w:eastAsia="Arial" w:cs="Arial" w:ascii="Arial" w:hAnsi="Arial"/>
          <w:color w:val="000000"/>
          <w:kern w:val="2"/>
          <w:sz w:val="22"/>
          <w:szCs w:val="22"/>
          <w:lang w:val="pt-BR" w:eastAsia="zh-CN" w:bidi="ar-SA"/>
        </w:rPr>
      </w:r>
    </w:p>
    <w:p>
      <w:pPr>
        <w:pStyle w:val="Normal"/>
        <w:widowControl w:val="false"/>
        <w:spacing w:lineRule="atLeast" w:line="291"/>
        <w:jc w:val="center"/>
        <w:rPr/>
      </w:pPr>
      <w:r>
        <w:rPr>
          <w:rFonts w:eastAsia="Arial" w:cs="Arial" w:ascii="Arial" w:hAnsi="Arial"/>
          <w:color w:val="000000"/>
          <w:kern w:val="2"/>
          <w:sz w:val="22"/>
          <w:szCs w:val="22"/>
          <w:lang w:val="pt-BR" w:eastAsia="zh-CN" w:bidi="ar-SA"/>
        </w:rPr>
        <w:t xml:space="preserve"> </w:t>
      </w:r>
      <w:r>
        <w:rPr>
          <w:rFonts w:eastAsia="Courier New" w:cs="Arial" w:ascii="Arial" w:hAnsi="Arial"/>
          <w:color w:val="000000"/>
          <w:kern w:val="2"/>
          <w:sz w:val="22"/>
          <w:szCs w:val="22"/>
          <w:lang w:val="pt-BR" w:eastAsia="zh-CN" w:bidi="ar-SA"/>
        </w:rPr>
        <w:t>Quissamã(RJ),_______</w:t>
      </w:r>
      <w:r>
        <w:rPr>
          <w:rFonts w:eastAsia="Courier New" w:cs="Arial" w:ascii="Arial" w:hAnsi="Arial"/>
          <w:color w:val="000000"/>
          <w:kern w:val="2"/>
          <w:sz w:val="22"/>
          <w:szCs w:val="22"/>
          <w:shd w:fill="auto" w:val="clear"/>
          <w:lang w:val="pt-BR" w:eastAsia="zh-CN" w:bidi="ar-SA"/>
        </w:rPr>
        <w:t>de ____________________ de 2026.</w:t>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t>ADJUDICANTE:</w:t>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mc:AlternateContent>
          <mc:Choice Requires="wps">
            <w:drawing>
              <wp:anchor behindDoc="0" distT="0" distB="0" distL="0" distR="0" simplePos="0" locked="0" layoutInCell="0" allowOverlap="1" relativeHeight="55">
                <wp:simplePos x="0" y="0"/>
                <wp:positionH relativeFrom="column">
                  <wp:posOffset>3099435</wp:posOffset>
                </wp:positionH>
                <wp:positionV relativeFrom="paragraph">
                  <wp:posOffset>106045</wp:posOffset>
                </wp:positionV>
                <wp:extent cx="2775585" cy="610235"/>
                <wp:effectExtent l="0" t="0" r="0" b="0"/>
                <wp:wrapNone/>
                <wp:docPr id="2" name="Quadro de texto 2"/>
                <a:graphic xmlns:a="http://schemas.openxmlformats.org/drawingml/2006/main">
                  <a:graphicData uri="http://schemas.microsoft.com/office/word/2010/wordprocessingShape">
                    <wps:wsp>
                      <wps:cNvSpPr/>
                      <wps:spPr>
                        <a:xfrm>
                          <a:off x="0" y="0"/>
                          <a:ext cx="2775600" cy="610200"/>
                        </a:xfrm>
                        <a:prstGeom prst="rect">
                          <a:avLst/>
                        </a:prstGeom>
                        <a:noFill/>
                        <a:ln w="0">
                          <a:noFill/>
                        </a:ln>
                      </wps:spPr>
                      <wps:style>
                        <a:lnRef idx="0"/>
                        <a:fillRef idx="0"/>
                        <a:effectRef idx="0"/>
                        <a:fontRef idx="minor"/>
                      </wps:style>
                      <wps:txbx>
                        <w:txbxContent>
                          <w:p>
                            <w:pPr>
                              <w:pStyle w:val="Contedodoquadro"/>
                              <w:overflowPunct w:val="true"/>
                              <w:jc w:val="center"/>
                              <w:rPr>
                                <w:rFonts w:ascii="Arial" w:hAnsi="Arial" w:cs="Times New Roman"/>
                                <w:color w:val="000000"/>
                                <w:sz w:val="22"/>
                                <w:szCs w:val="22"/>
                              </w:rPr>
                            </w:pPr>
                            <w:r>
                              <w:rPr>
                                <w:rFonts w:cs="Times New Roman" w:ascii="Arial" w:hAnsi="Arial"/>
                                <w:color w:val="000000"/>
                                <w:sz w:val="22"/>
                                <w:szCs w:val="22"/>
                              </w:rPr>
                              <w:t>MUNICÍPIO DE QUISSAMÃ</w:t>
                            </w:r>
                          </w:p>
                          <w:p>
                            <w:pPr>
                              <w:pStyle w:val="Contedodoquadro"/>
                              <w:overflowPunct w:val="true"/>
                              <w:jc w:val="center"/>
                              <w:rPr>
                                <w:rFonts w:ascii="Arial" w:hAnsi="Arial" w:cs="Times New Roman"/>
                                <w:b/>
                                <w:b/>
                                <w:bCs/>
                                <w:color w:val="000000"/>
                                <w:sz w:val="22"/>
                                <w:szCs w:val="22"/>
                              </w:rPr>
                            </w:pPr>
                            <w:r>
                              <w:rPr>
                                <w:rFonts w:cs="Times New Roman" w:ascii="Arial" w:hAnsi="Arial"/>
                                <w:b/>
                                <w:bCs/>
                                <w:color w:val="000000"/>
                                <w:sz w:val="22"/>
                                <w:szCs w:val="22"/>
                              </w:rPr>
                              <w:t>Márcio Fernandes da Silva</w:t>
                            </w:r>
                          </w:p>
                          <w:p>
                            <w:pPr>
                              <w:pStyle w:val="Contedodoquadro"/>
                              <w:overflowPunct w:val="true"/>
                              <w:jc w:val="center"/>
                              <w:rPr/>
                            </w:pPr>
                            <w:r>
                              <w:rPr>
                                <w:rFonts w:cs="Times New Roman" w:ascii="Arial" w:hAnsi="Arial"/>
                                <w:color w:val="000000"/>
                                <w:sz w:val="22"/>
                                <w:szCs w:val="22"/>
                              </w:rPr>
                              <w:t>Chefe de Gabinete do Prefeito</w:t>
                            </w:r>
                          </w:p>
                        </w:txbxContent>
                      </wps:txbx>
                      <wps:bodyPr lIns="0" rIns="0" tIns="0" bIns="0" anchor="t">
                        <a:noAutofit/>
                      </wps:bodyPr>
                    </wps:wsp>
                  </a:graphicData>
                </a:graphic>
              </wp:anchor>
            </w:drawing>
          </mc:Choice>
          <mc:Fallback>
            <w:pict>
              <v:rect id="shape_0" ID="Quadro de texto 2" path="m0,0l-2147483645,0l-2147483645,-2147483646l0,-2147483646xe" stroked="f" o:allowincell="f" style="position:absolute;margin-left:244.05pt;margin-top:8.35pt;width:218.5pt;height:48pt;mso-wrap-style:square;v-text-anchor:top">
                <v:fill o:detectmouseclick="t" on="false"/>
                <v:stroke color="#3465a4" joinstyle="round" endcap="flat"/>
                <v:textbox>
                  <w:txbxContent>
                    <w:p>
                      <w:pPr>
                        <w:pStyle w:val="Contedodoquadro"/>
                        <w:overflowPunct w:val="true"/>
                        <w:jc w:val="center"/>
                        <w:rPr>
                          <w:rFonts w:ascii="Arial" w:hAnsi="Arial" w:cs="Times New Roman"/>
                          <w:color w:val="000000"/>
                          <w:sz w:val="22"/>
                          <w:szCs w:val="22"/>
                        </w:rPr>
                      </w:pPr>
                      <w:r>
                        <w:rPr>
                          <w:rFonts w:cs="Times New Roman" w:ascii="Arial" w:hAnsi="Arial"/>
                          <w:color w:val="000000"/>
                          <w:sz w:val="22"/>
                          <w:szCs w:val="22"/>
                        </w:rPr>
                        <w:t>MUNICÍPIO DE QUISSAMÃ</w:t>
                      </w:r>
                    </w:p>
                    <w:p>
                      <w:pPr>
                        <w:pStyle w:val="Contedodoquadro"/>
                        <w:overflowPunct w:val="true"/>
                        <w:jc w:val="center"/>
                        <w:rPr>
                          <w:rFonts w:ascii="Arial" w:hAnsi="Arial" w:cs="Times New Roman"/>
                          <w:b/>
                          <w:b/>
                          <w:bCs/>
                          <w:color w:val="000000"/>
                          <w:sz w:val="22"/>
                          <w:szCs w:val="22"/>
                        </w:rPr>
                      </w:pPr>
                      <w:r>
                        <w:rPr>
                          <w:rFonts w:cs="Times New Roman" w:ascii="Arial" w:hAnsi="Arial"/>
                          <w:b/>
                          <w:bCs/>
                          <w:color w:val="000000"/>
                          <w:sz w:val="22"/>
                          <w:szCs w:val="22"/>
                        </w:rPr>
                        <w:t>Márcio Fernandes da Silva</w:t>
                      </w:r>
                    </w:p>
                    <w:p>
                      <w:pPr>
                        <w:pStyle w:val="Contedodoquadro"/>
                        <w:overflowPunct w:val="true"/>
                        <w:jc w:val="center"/>
                        <w:rPr/>
                      </w:pPr>
                      <w:r>
                        <w:rPr>
                          <w:rFonts w:cs="Times New Roman" w:ascii="Arial" w:hAnsi="Arial"/>
                          <w:color w:val="000000"/>
                          <w:sz w:val="22"/>
                          <w:szCs w:val="22"/>
                        </w:rPr>
                        <w:t>Chefe de Gabinete do Prefeito</w:t>
                      </w:r>
                    </w:p>
                  </w:txbxContent>
                </v:textbox>
                <w10:wrap type="none"/>
              </v:rect>
            </w:pict>
          </mc:Fallback>
        </mc:AlternateContent>
        <mc:AlternateContent>
          <mc:Choice Requires="wps">
            <w:drawing>
              <wp:anchor behindDoc="0" distT="635" distB="0" distL="635" distR="0" simplePos="0" locked="0" layoutInCell="0" allowOverlap="1" relativeHeight="57">
                <wp:simplePos x="0" y="0"/>
                <wp:positionH relativeFrom="column">
                  <wp:posOffset>-121285</wp:posOffset>
                </wp:positionH>
                <wp:positionV relativeFrom="paragraph">
                  <wp:posOffset>113030</wp:posOffset>
                </wp:positionV>
                <wp:extent cx="2848610" cy="643890"/>
                <wp:effectExtent l="635" t="635" r="0" b="0"/>
                <wp:wrapNone/>
                <wp:docPr id="4" name="Quadro de texto 1"/>
                <a:graphic xmlns:a="http://schemas.openxmlformats.org/drawingml/2006/main">
                  <a:graphicData uri="http://schemas.microsoft.com/office/word/2010/wordprocessingShape">
                    <wps:wsp>
                      <wps:cNvSpPr/>
                      <wps:spPr>
                        <a:xfrm>
                          <a:off x="0" y="0"/>
                          <a:ext cx="2848680" cy="644040"/>
                        </a:xfrm>
                        <a:prstGeom prst="rect">
                          <a:avLst/>
                        </a:prstGeom>
                        <a:noFill/>
                        <a:ln w="0">
                          <a:noFill/>
                        </a:ln>
                      </wps:spPr>
                      <wps:style>
                        <a:lnRef idx="0"/>
                        <a:fillRef idx="0"/>
                        <a:effectRef idx="0"/>
                        <a:fontRef idx="minor"/>
                      </wps:style>
                      <wps:txbx>
                        <w:txbxContent>
                          <w:p>
                            <w:pPr>
                              <w:pStyle w:val="Contedodoquadro"/>
                              <w:jc w:val="center"/>
                              <w:rPr>
                                <w:rFonts w:ascii="Arial" w:hAnsi="Arial" w:eastAsia="NSimSun" w:cs="Arial"/>
                                <w:b w:val="false"/>
                                <w:b w:val="false"/>
                                <w:bCs w:val="false"/>
                                <w:color w:val="000000"/>
                                <w:kern w:val="2"/>
                                <w:sz w:val="22"/>
                                <w:szCs w:val="22"/>
                                <w:lang w:eastAsia="zh-CN" w:bidi="hi-IN"/>
                              </w:rPr>
                            </w:pPr>
                            <w:r>
                              <w:rPr>
                                <w:rFonts w:eastAsia="NSimSun" w:cs="Arial" w:ascii="Arial" w:hAnsi="Arial"/>
                                <w:b w:val="false"/>
                                <w:bCs w:val="false"/>
                                <w:color w:val="000000"/>
                                <w:kern w:val="2"/>
                                <w:sz w:val="22"/>
                                <w:szCs w:val="22"/>
                                <w:lang w:eastAsia="zh-CN" w:bidi="hi-IN"/>
                              </w:rPr>
                              <w:t>MUNICÍPIO DE QUISSAMÃ</w:t>
                            </w:r>
                          </w:p>
                          <w:p>
                            <w:pPr>
                              <w:pStyle w:val="Contedodoquadro"/>
                              <w:overflowPunct w:val="true"/>
                              <w:jc w:val="center"/>
                              <w:rPr>
                                <w:rFonts w:ascii="Arial" w:hAnsi="Arial" w:cs="Times New Roman"/>
                                <w:b/>
                                <w:b/>
                                <w:bCs/>
                                <w:color w:val="000000"/>
                                <w:sz w:val="22"/>
                                <w:szCs w:val="22"/>
                              </w:rPr>
                            </w:pPr>
                            <w:r>
                              <w:rPr>
                                <w:rFonts w:cs="Times New Roman" w:ascii="Arial" w:hAnsi="Arial"/>
                                <w:b/>
                                <w:bCs/>
                                <w:color w:val="000000"/>
                                <w:sz w:val="22"/>
                                <w:szCs w:val="22"/>
                              </w:rPr>
                              <w:t>Gilda de Queirós Tavares</w:t>
                            </w:r>
                          </w:p>
                          <w:p>
                            <w:pPr>
                              <w:pStyle w:val="Contedodoquadro"/>
                              <w:overflowPunct w:val="true"/>
                              <w:jc w:val="center"/>
                              <w:rPr/>
                            </w:pPr>
                            <w:r>
                              <w:rPr>
                                <w:rFonts w:eastAsia="NSimSun" w:cs="Times New Roman" w:ascii="Arial" w:hAnsi="Arial"/>
                                <w:b w:val="false"/>
                                <w:bCs w:val="false"/>
                                <w:color w:val="000000"/>
                                <w:kern w:val="2"/>
                                <w:sz w:val="22"/>
                                <w:szCs w:val="22"/>
                                <w:lang w:eastAsia="zh-CN" w:bidi="hi-IN"/>
                              </w:rPr>
                              <w:t>Gestora do Fundo Municipal de Saúde</w:t>
                            </w:r>
                          </w:p>
                        </w:txbxContent>
                      </wps:txbx>
                      <wps:bodyPr lIns="0" rIns="0" tIns="0" bIns="0" anchor="t">
                        <a:noAutofit/>
                      </wps:bodyPr>
                    </wps:wsp>
                  </a:graphicData>
                </a:graphic>
              </wp:anchor>
            </w:drawing>
          </mc:Choice>
          <mc:Fallback>
            <w:pict>
              <v:rect id="shape_0" ID="Quadro de texto 1" path="m0,0l-2147483645,0l-2147483645,-2147483646l0,-2147483646xe" stroked="f" o:allowincell="f" style="position:absolute;margin-left:-9.55pt;margin-top:8.9pt;width:224.25pt;height:50.65pt;mso-wrap-style:square;v-text-anchor:top">
                <v:fill o:detectmouseclick="t" on="false"/>
                <v:stroke color="#3465a4" joinstyle="round" endcap="flat"/>
                <v:textbox>
                  <w:txbxContent>
                    <w:p>
                      <w:pPr>
                        <w:pStyle w:val="Contedodoquadro"/>
                        <w:jc w:val="center"/>
                        <w:rPr>
                          <w:rFonts w:ascii="Arial" w:hAnsi="Arial" w:eastAsia="NSimSun" w:cs="Arial"/>
                          <w:b w:val="false"/>
                          <w:b w:val="false"/>
                          <w:bCs w:val="false"/>
                          <w:color w:val="000000"/>
                          <w:kern w:val="2"/>
                          <w:sz w:val="22"/>
                          <w:szCs w:val="22"/>
                          <w:lang w:eastAsia="zh-CN" w:bidi="hi-IN"/>
                        </w:rPr>
                      </w:pPr>
                      <w:r>
                        <w:rPr>
                          <w:rFonts w:eastAsia="NSimSun" w:cs="Arial" w:ascii="Arial" w:hAnsi="Arial"/>
                          <w:b w:val="false"/>
                          <w:bCs w:val="false"/>
                          <w:color w:val="000000"/>
                          <w:kern w:val="2"/>
                          <w:sz w:val="22"/>
                          <w:szCs w:val="22"/>
                          <w:lang w:eastAsia="zh-CN" w:bidi="hi-IN"/>
                        </w:rPr>
                        <w:t>MUNICÍPIO DE QUISSAMÃ</w:t>
                      </w:r>
                    </w:p>
                    <w:p>
                      <w:pPr>
                        <w:pStyle w:val="Contedodoquadro"/>
                        <w:overflowPunct w:val="true"/>
                        <w:jc w:val="center"/>
                        <w:rPr>
                          <w:rFonts w:ascii="Arial" w:hAnsi="Arial" w:cs="Times New Roman"/>
                          <w:b/>
                          <w:b/>
                          <w:bCs/>
                          <w:color w:val="000000"/>
                          <w:sz w:val="22"/>
                          <w:szCs w:val="22"/>
                        </w:rPr>
                      </w:pPr>
                      <w:r>
                        <w:rPr>
                          <w:rFonts w:cs="Times New Roman" w:ascii="Arial" w:hAnsi="Arial"/>
                          <w:b/>
                          <w:bCs/>
                          <w:color w:val="000000"/>
                          <w:sz w:val="22"/>
                          <w:szCs w:val="22"/>
                        </w:rPr>
                        <w:t>Gilda de Queirós Tavares</w:t>
                      </w:r>
                    </w:p>
                    <w:p>
                      <w:pPr>
                        <w:pStyle w:val="Contedodoquadro"/>
                        <w:overflowPunct w:val="true"/>
                        <w:jc w:val="center"/>
                        <w:rPr/>
                      </w:pPr>
                      <w:r>
                        <w:rPr>
                          <w:rFonts w:eastAsia="NSimSun" w:cs="Times New Roman" w:ascii="Arial" w:hAnsi="Arial"/>
                          <w:b w:val="false"/>
                          <w:bCs w:val="false"/>
                          <w:color w:val="000000"/>
                          <w:kern w:val="2"/>
                          <w:sz w:val="22"/>
                          <w:szCs w:val="22"/>
                          <w:lang w:eastAsia="zh-CN" w:bidi="hi-IN"/>
                        </w:rPr>
                        <w:t>Gestora do Fundo Municipal de Saúde</w:t>
                      </w:r>
                    </w:p>
                  </w:txbxContent>
                </v:textbox>
                <w10:wrap type="none"/>
              </v:rect>
            </w:pict>
          </mc:Fallback>
        </mc:AlternateContent>
        <mc:AlternateContent>
          <mc:Choice Requires="wps">
            <w:drawing>
              <wp:anchor behindDoc="0" distT="635" distB="0" distL="635" distR="0" simplePos="0" locked="0" layoutInCell="0" allowOverlap="1" relativeHeight="59">
                <wp:simplePos x="0" y="0"/>
                <wp:positionH relativeFrom="column">
                  <wp:posOffset>78740</wp:posOffset>
                </wp:positionH>
                <wp:positionV relativeFrom="paragraph">
                  <wp:posOffset>111760</wp:posOffset>
                </wp:positionV>
                <wp:extent cx="2848610" cy="643890"/>
                <wp:effectExtent l="635" t="635" r="0" b="0"/>
                <wp:wrapNone/>
                <wp:docPr id="6" name="Quadro de texto 7"/>
                <a:graphic xmlns:a="http://schemas.openxmlformats.org/drawingml/2006/main">
                  <a:graphicData uri="http://schemas.microsoft.com/office/word/2010/wordprocessingShape">
                    <wps:wsp>
                      <wps:cNvSpPr/>
                      <wps:spPr>
                        <a:xfrm>
                          <a:off x="0" y="0"/>
                          <a:ext cx="2848680" cy="644040"/>
                        </a:xfrm>
                        <a:prstGeom prst="rect">
                          <a:avLst/>
                        </a:prstGeom>
                        <a:noFill/>
                        <a:ln w="0">
                          <a:noFill/>
                        </a:ln>
                      </wps:spPr>
                      <wps:style>
                        <a:lnRef idx="0"/>
                        <a:fillRef idx="0"/>
                        <a:effectRef idx="0"/>
                        <a:fontRef idx="minor"/>
                      </wps:style>
                      <wps:bodyPr/>
                    </wps:wsp>
                  </a:graphicData>
                </a:graphic>
              </wp:anchor>
            </w:drawing>
          </mc:Choice>
          <mc:Fallback>
            <w:pict>
              <v:rect id="shape_0" ID="Quadro de texto 7" path="m0,0l-2147483645,0l-2147483645,-2147483646l0,-2147483646xe" stroked="f" o:allowincell="f" style="position:absolute;margin-left:6.2pt;margin-top:8.8pt;width:224.25pt;height:50.65pt;mso-wrap-style:none;v-text-anchor:middle">
                <v:fill o:detectmouseclick="t" on="false"/>
                <v:stroke color="#3465a4" joinstyle="round" endcap="flat"/>
                <w10:wrap type="none"/>
              </v:rect>
            </w:pict>
          </mc:Fallback>
        </mc:AlternateContent>
        <mc:AlternateContent>
          <mc:Choice Requires="wps">
            <w:drawing>
              <wp:anchor behindDoc="0" distT="635" distB="0" distL="635" distR="0" simplePos="0" locked="0" layoutInCell="0" allowOverlap="1" relativeHeight="60">
                <wp:simplePos x="0" y="0"/>
                <wp:positionH relativeFrom="column">
                  <wp:posOffset>-73660</wp:posOffset>
                </wp:positionH>
                <wp:positionV relativeFrom="paragraph">
                  <wp:posOffset>133350</wp:posOffset>
                </wp:positionV>
                <wp:extent cx="2848610" cy="643890"/>
                <wp:effectExtent l="635" t="635" r="0" b="0"/>
                <wp:wrapNone/>
                <wp:docPr id="7" name="Quadro de texto 18"/>
                <a:graphic xmlns:a="http://schemas.openxmlformats.org/drawingml/2006/main">
                  <a:graphicData uri="http://schemas.microsoft.com/office/word/2010/wordprocessingShape">
                    <wps:wsp>
                      <wps:cNvSpPr/>
                      <wps:spPr>
                        <a:xfrm>
                          <a:off x="0" y="0"/>
                          <a:ext cx="2848680" cy="644040"/>
                        </a:xfrm>
                        <a:prstGeom prst="rect">
                          <a:avLst/>
                        </a:prstGeom>
                        <a:noFill/>
                        <a:ln w="0">
                          <a:noFill/>
                        </a:ln>
                      </wps:spPr>
                      <wps:style>
                        <a:lnRef idx="0"/>
                        <a:fillRef idx="0"/>
                        <a:effectRef idx="0"/>
                        <a:fontRef idx="minor"/>
                      </wps:style>
                      <wps:bodyPr/>
                    </wps:wsp>
                  </a:graphicData>
                </a:graphic>
              </wp:anchor>
            </w:drawing>
          </mc:Choice>
          <mc:Fallback>
            <w:pict>
              <v:rect id="shape_0" ID="Quadro de texto 18" path="m0,0l-2147483645,0l-2147483645,-2147483646l0,-2147483646xe" stroked="f" o:allowincell="f" style="position:absolute;margin-left:-5.8pt;margin-top:10.5pt;width:224.25pt;height:50.65pt;mso-wrap-style:none;v-text-anchor:middle">
                <v:fill o:detectmouseclick="t" on="false"/>
                <v:stroke color="#3465a4" joinstyle="round" endcap="flat"/>
                <w10:wrap type="none"/>
              </v:rect>
            </w:pict>
          </mc:Fallback>
        </mc:AlternateContent>
        <mc:AlternateContent>
          <mc:Choice Requires="wps">
            <w:drawing>
              <wp:anchor behindDoc="0" distT="635" distB="0" distL="635" distR="0" simplePos="0" locked="0" layoutInCell="0" allowOverlap="1" relativeHeight="61">
                <wp:simplePos x="0" y="0"/>
                <wp:positionH relativeFrom="column">
                  <wp:posOffset>21590</wp:posOffset>
                </wp:positionH>
                <wp:positionV relativeFrom="paragraph">
                  <wp:posOffset>23495</wp:posOffset>
                </wp:positionV>
                <wp:extent cx="2848610" cy="643890"/>
                <wp:effectExtent l="635" t="635" r="0" b="0"/>
                <wp:wrapNone/>
                <wp:docPr id="8" name="Quadro de texto 15"/>
                <a:graphic xmlns:a="http://schemas.openxmlformats.org/drawingml/2006/main">
                  <a:graphicData uri="http://schemas.microsoft.com/office/word/2010/wordprocessingShape">
                    <wps:wsp>
                      <wps:cNvSpPr/>
                      <wps:spPr>
                        <a:xfrm>
                          <a:off x="0" y="0"/>
                          <a:ext cx="2848680" cy="644040"/>
                        </a:xfrm>
                        <a:prstGeom prst="rect">
                          <a:avLst/>
                        </a:prstGeom>
                        <a:noFill/>
                        <a:ln w="0">
                          <a:noFill/>
                        </a:ln>
                      </wps:spPr>
                      <wps:style>
                        <a:lnRef idx="0"/>
                        <a:fillRef idx="0"/>
                        <a:effectRef idx="0"/>
                        <a:fontRef idx="minor"/>
                      </wps:style>
                      <wps:bodyPr/>
                    </wps:wsp>
                  </a:graphicData>
                </a:graphic>
              </wp:anchor>
            </w:drawing>
          </mc:Choice>
          <mc:Fallback>
            <w:pict>
              <v:rect id="shape_0" ID="Quadro de texto 15" path="m0,0l-2147483645,0l-2147483645,-2147483646l0,-2147483646xe" stroked="f" o:allowincell="f" style="position:absolute;margin-left:1.7pt;margin-top:1.85pt;width:224.25pt;height:50.65pt;mso-wrap-style:none;v-text-anchor:middle">
                <v:fill o:detectmouseclick="t" on="false"/>
                <v:stroke color="#3465a4" joinstyle="round" endcap="flat"/>
                <w10:wrap type="none"/>
              </v:rect>
            </w:pict>
          </mc:Fallback>
        </mc:AlternateContent>
        <mc:AlternateContent>
          <mc:Choice Requires="wps">
            <w:drawing>
              <wp:anchor behindDoc="0" distT="635" distB="0" distL="635" distR="0" simplePos="0" locked="0" layoutInCell="0" allowOverlap="1" relativeHeight="62">
                <wp:simplePos x="0" y="0"/>
                <wp:positionH relativeFrom="column">
                  <wp:posOffset>3469640</wp:posOffset>
                </wp:positionH>
                <wp:positionV relativeFrom="paragraph">
                  <wp:posOffset>165100</wp:posOffset>
                </wp:positionV>
                <wp:extent cx="2848610" cy="643890"/>
                <wp:effectExtent l="635" t="635" r="0" b="0"/>
                <wp:wrapNone/>
                <wp:docPr id="9" name="Quadro de texto 6"/>
                <a:graphic xmlns:a="http://schemas.openxmlformats.org/drawingml/2006/main">
                  <a:graphicData uri="http://schemas.microsoft.com/office/word/2010/wordprocessingShape">
                    <wps:wsp>
                      <wps:cNvSpPr/>
                      <wps:spPr>
                        <a:xfrm>
                          <a:off x="0" y="0"/>
                          <a:ext cx="2848680" cy="644040"/>
                        </a:xfrm>
                        <a:prstGeom prst="rect">
                          <a:avLst/>
                        </a:prstGeom>
                        <a:noFill/>
                        <a:ln w="0">
                          <a:noFill/>
                        </a:ln>
                      </wps:spPr>
                      <wps:style>
                        <a:lnRef idx="0"/>
                        <a:fillRef idx="0"/>
                        <a:effectRef idx="0"/>
                        <a:fontRef idx="minor"/>
                      </wps:style>
                      <wps:bodyPr/>
                    </wps:wsp>
                  </a:graphicData>
                </a:graphic>
              </wp:anchor>
            </w:drawing>
          </mc:Choice>
          <mc:Fallback>
            <w:pict>
              <v:rect id="shape_0" ID="Quadro de texto 6" path="m0,0l-2147483645,0l-2147483645,-2147483646l0,-2147483646xe" stroked="f" o:allowincell="f" style="position:absolute;margin-left:273.2pt;margin-top:13pt;width:224.25pt;height:50.65pt;mso-wrap-style:none;v-text-anchor:middle">
                <v:fill o:detectmouseclick="t" on="false"/>
                <v:stroke color="#3465a4" joinstyle="round" endcap="flat"/>
                <w10:wrap type="none"/>
              </v:rect>
            </w:pict>
          </mc:Fallback>
        </mc:AlternateContent>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t>ADJUDICATÁRIO:</w:t>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jc w:val="center"/>
        <w:rPr>
          <w:rFonts w:ascii="Arial" w:hAnsi="Arial" w:eastAsia="Courier New" w:cs="Arial"/>
          <w:b/>
          <w:b/>
          <w:bCs/>
          <w:color w:val="000000"/>
          <w:kern w:val="2"/>
          <w:sz w:val="22"/>
          <w:szCs w:val="22"/>
          <w:shd w:fill="auto" w:val="clear"/>
          <w:lang w:val="pt-BR" w:eastAsia="zh-CN" w:bidi="ar-SA"/>
        </w:rPr>
      </w:pPr>
      <w:r>
        <w:rPr>
          <w:rFonts w:eastAsia="Courier New" w:cs="Arial" w:ascii="Arial" w:hAnsi="Arial"/>
          <w:b/>
          <w:bCs/>
          <w:color w:val="000000"/>
          <w:kern w:val="2"/>
          <w:sz w:val="22"/>
          <w:szCs w:val="22"/>
          <w:shd w:fill="auto" w:val="clear"/>
          <w:lang w:val="pt-BR" w:eastAsia="zh-CN" w:bidi="ar-SA"/>
        </w:rPr>
        <w:t>_____________________________________</w:t>
      </w:r>
    </w:p>
    <w:p>
      <w:pPr>
        <w:pStyle w:val="Normal"/>
        <w:widowControl w:val="false"/>
        <w:jc w:val="center"/>
        <w:rPr>
          <w:sz w:val="22"/>
          <w:szCs w:val="22"/>
        </w:rPr>
      </w:pPr>
      <w:r>
        <w:rPr>
          <w:sz w:val="22"/>
          <w:szCs w:val="22"/>
        </w:rPr>
      </w:r>
    </w:p>
    <w:p>
      <w:pPr>
        <w:pStyle w:val="Normal"/>
        <w:widowControl w:val="false"/>
        <w:jc w:val="center"/>
        <w:rPr/>
      </w:pPr>
      <w:r>
        <w:rPr>
          <w:rFonts w:eastAsia="Arial" w:cs="Arial" w:ascii="Arial" w:hAnsi="Arial"/>
          <w:color w:val="000000"/>
          <w:kern w:val="2"/>
          <w:sz w:val="22"/>
          <w:szCs w:val="22"/>
          <w:shd w:fill="auto" w:val="clear"/>
          <w:lang w:val="pt-BR" w:eastAsia="zh-CN" w:bidi="ar-SA"/>
        </w:rPr>
        <w:t xml:space="preserve"> </w:t>
      </w:r>
      <w:r>
        <w:rPr>
          <w:rFonts w:eastAsia="Courier New" w:cs="Arial" w:ascii="Arial" w:hAnsi="Arial"/>
          <w:b/>
          <w:bCs/>
          <w:color w:val="000000"/>
          <w:kern w:val="2"/>
          <w:sz w:val="22"/>
          <w:szCs w:val="22"/>
          <w:shd w:fill="auto" w:val="clear"/>
          <w:lang w:val="pt-BR" w:eastAsia="zh-CN" w:bidi="ar-SA"/>
        </w:rPr>
        <w:t>CNPJ:_____________________</w:t>
      </w:r>
    </w:p>
    <w:p>
      <w:pPr>
        <w:pStyle w:val="Normal"/>
        <w:widowControl w:val="false"/>
        <w:jc w:val="center"/>
        <w:rPr>
          <w:sz w:val="22"/>
          <w:szCs w:val="22"/>
        </w:rPr>
      </w:pPr>
      <w:r>
        <w:rPr>
          <w:sz w:val="22"/>
          <w:szCs w:val="22"/>
        </w:rPr>
      </w:r>
    </w:p>
    <w:p>
      <w:pPr>
        <w:pStyle w:val="Normal"/>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lineRule="auto" w:line="360"/>
        <w:jc w:val="center"/>
        <w:rPr>
          <w:rFonts w:ascii="Arial" w:hAnsi="Arial" w:eastAsia="Tahoma" w:cs="Arial"/>
          <w:color w:val="000000"/>
          <w:sz w:val="22"/>
        </w:rPr>
      </w:pPr>
      <w:r>
        <w:rPr>
          <w:rFonts w:eastAsia="Tahoma" w:cs="Arial" w:ascii="Arial" w:hAnsi="Arial"/>
          <w:color w:val="000000"/>
          <w:sz w:val="22"/>
        </w:rPr>
        <w:t>Nome do representante: ______________________________</w:t>
      </w:r>
    </w:p>
    <w:p>
      <w:pPr>
        <w:pStyle w:val="Normal"/>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lineRule="auto" w:line="360"/>
        <w:jc w:val="center"/>
        <w:rPr>
          <w:rFonts w:ascii="Arial" w:hAnsi="Arial" w:cs="Arial"/>
          <w:bCs w:val="false"/>
          <w:sz w:val="22"/>
        </w:rPr>
      </w:pPr>
      <w:r>
        <w:rPr>
          <w:rFonts w:cs="Arial" w:ascii="Arial" w:hAnsi="Arial"/>
          <w:bCs w:val="false"/>
          <w:sz w:val="22"/>
        </w:rPr>
        <w:t>CPF do representante: ______________________</w:t>
      </w:r>
    </w:p>
    <w:p>
      <w:pPr>
        <w:pStyle w:val="Normal"/>
        <w:widowControl w:val="false"/>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lineRule="auto" w:line="276"/>
        <w:jc w:val="center"/>
        <w:rPr>
          <w:rFonts w:ascii="Arial" w:hAnsi="Arial"/>
          <w:sz w:val="24"/>
          <w:szCs w:val="24"/>
        </w:rPr>
      </w:pPr>
      <w:r>
        <w:rPr>
          <w:rFonts w:ascii="Arial" w:hAnsi="Arial"/>
          <w:sz w:val="24"/>
          <w:szCs w:val="24"/>
        </w:rPr>
      </w:r>
    </w:p>
    <w:p>
      <w:pPr>
        <w:pStyle w:val="Normal"/>
        <w:widowControl w:val="false"/>
        <w:spacing w:lineRule="auto" w:line="480"/>
        <w:jc w:val="left"/>
        <w:rPr>
          <w:sz w:val="22"/>
          <w:szCs w:val="22"/>
        </w:rPr>
      </w:pPr>
      <w:r>
        <w:rPr>
          <w:sz w:val="22"/>
          <w:szCs w:val="22"/>
        </w:rPr>
      </w:r>
    </w:p>
    <w:p>
      <w:pPr>
        <w:pStyle w:val="Normal"/>
        <w:widowControl w:val="false"/>
        <w:spacing w:lineRule="auto" w:line="480"/>
        <w:jc w:val="left"/>
        <w:rPr>
          <w:sz w:val="22"/>
          <w:szCs w:val="22"/>
        </w:rPr>
      </w:pPr>
      <w:r>
        <w:rPr>
          <w:rFonts w:ascii="Arial" w:hAnsi="Arial"/>
          <w:b/>
          <w:bCs/>
          <w:sz w:val="22"/>
          <w:szCs w:val="22"/>
        </w:rPr>
        <w:t>CIENTES:</w:t>
      </w:r>
    </w:p>
    <w:p>
      <w:pPr>
        <w:pStyle w:val="Normal"/>
        <w:widowControl w:val="false"/>
        <w:spacing w:lineRule="auto" w:line="480"/>
        <w:jc w:val="left"/>
        <w:rPr>
          <w:rFonts w:ascii="Arial" w:hAnsi="Arial" w:eastAsia="Courier New" w:cs="Arial"/>
          <w:b/>
          <w:b/>
          <w:bCs/>
          <w:color w:val="000000"/>
          <w:kern w:val="2"/>
          <w:lang w:val="pt-BR" w:eastAsia="zh-CN" w:bidi="ar-SA"/>
        </w:rPr>
      </w:pPr>
      <w:r>
        <w:rPr>
          <w:rFonts w:eastAsia="Courier New" w:cs="Arial" w:ascii="Arial" w:hAnsi="Arial"/>
          <w:b/>
          <w:bCs/>
          <w:color w:val="000000"/>
          <w:kern w:val="2"/>
          <w:lang w:val="pt-BR" w:eastAsia="zh-CN" w:bidi="ar-SA"/>
        </w:rPr>
      </w:r>
    </w:p>
    <w:p>
      <w:pPr>
        <w:pStyle w:val="Normal"/>
        <w:widowControl w:val="false"/>
        <w:spacing w:lineRule="auto" w:line="480"/>
        <w:jc w:val="left"/>
        <w:rPr>
          <w:sz w:val="22"/>
          <w:szCs w:val="22"/>
        </w:rPr>
      </w:pPr>
      <w:r>
        <w:rPr>
          <w:rFonts w:eastAsia="Courier New" w:cs="Arial" w:ascii="Arial" w:hAnsi="Arial"/>
          <w:b/>
          <w:bCs/>
          <w:color w:val="000000"/>
          <w:kern w:val="2"/>
          <w:sz w:val="22"/>
          <w:szCs w:val="22"/>
          <w:lang w:val="pt-BR" w:eastAsia="zh-CN" w:bidi="ar-SA"/>
        </w:rPr>
        <w:t xml:space="preserve">Gestor: </w:t>
      </w:r>
      <w:r>
        <w:rPr>
          <w:rFonts w:eastAsia="Courier New" w:cs="Arial" w:ascii="Arial" w:hAnsi="Arial"/>
          <w:b w:val="false"/>
          <w:bCs w:val="false"/>
          <w:color w:val="000000"/>
          <w:kern w:val="2"/>
          <w:sz w:val="22"/>
          <w:szCs w:val="22"/>
          <w:lang w:val="pt-BR" w:eastAsia="zh-CN" w:bidi="ar-SA"/>
        </w:rPr>
        <w:t>_____________________________________________________________</w:t>
      </w:r>
    </w:p>
    <w:p>
      <w:pPr>
        <w:pStyle w:val="Normal"/>
        <w:widowControl w:val="false"/>
        <w:spacing w:lineRule="auto" w:line="240"/>
        <w:rPr>
          <w:sz w:val="22"/>
          <w:szCs w:val="22"/>
        </w:rPr>
      </w:pPr>
      <w:r>
        <w:rPr>
          <w:rFonts w:eastAsia="Courier New" w:cs="Arial" w:ascii="Arial" w:hAnsi="Arial"/>
          <w:b w:val="false"/>
          <w:bCs w:val="false"/>
          <w:color w:val="000000"/>
          <w:kern w:val="2"/>
          <w:sz w:val="22"/>
          <w:szCs w:val="22"/>
          <w:lang w:val="pt-BR" w:eastAsia="zh-CN" w:bidi="ar-SA"/>
        </w:rPr>
        <w:t>CPF: ___________________ Matrícula: _____________________</w:t>
      </w:r>
    </w:p>
    <w:p>
      <w:pPr>
        <w:pStyle w:val="Normal"/>
        <w:widowControl w:val="false"/>
        <w:spacing w:lineRule="auto" w:line="240"/>
        <w:rPr>
          <w:rFonts w:eastAsia="Courier New" w:cs="Arial"/>
          <w:b/>
          <w:b/>
          <w:bCs/>
          <w:color w:val="000000"/>
          <w:kern w:val="2"/>
          <w:sz w:val="22"/>
          <w:szCs w:val="22"/>
          <w:lang w:val="pt-BR" w:eastAsia="zh-CN" w:bidi="ar-SA"/>
        </w:rPr>
      </w:pPr>
      <w:r>
        <w:rPr>
          <w:rFonts w:eastAsia="Courier New" w:cs="Arial"/>
          <w:b/>
          <w:bCs/>
          <w:color w:val="000000"/>
          <w:kern w:val="2"/>
          <w:sz w:val="22"/>
          <w:szCs w:val="22"/>
          <w:lang w:val="pt-BR" w:eastAsia="zh-CN" w:bidi="ar-SA"/>
        </w:rPr>
      </w:r>
    </w:p>
    <w:p>
      <w:pPr>
        <w:pStyle w:val="Normal"/>
        <w:widowControl w:val="false"/>
        <w:spacing w:lineRule="auto" w:line="240"/>
        <w:rPr>
          <w:rFonts w:eastAsia="Courier New" w:cs="Arial"/>
          <w:b/>
          <w:b/>
          <w:bCs/>
          <w:color w:val="000000"/>
          <w:kern w:val="2"/>
          <w:sz w:val="22"/>
          <w:szCs w:val="22"/>
          <w:lang w:val="pt-BR" w:eastAsia="zh-CN" w:bidi="ar-SA"/>
        </w:rPr>
      </w:pPr>
      <w:r>
        <w:rPr>
          <w:rFonts w:eastAsia="Courier New" w:cs="Arial"/>
          <w:b/>
          <w:bCs/>
          <w:color w:val="000000"/>
          <w:kern w:val="2"/>
          <w:sz w:val="22"/>
          <w:szCs w:val="22"/>
          <w:lang w:val="pt-BR" w:eastAsia="zh-CN" w:bidi="ar-SA"/>
        </w:rPr>
      </w:r>
    </w:p>
    <w:p>
      <w:pPr>
        <w:pStyle w:val="Normal"/>
        <w:widowControl w:val="false"/>
        <w:spacing w:lineRule="auto" w:line="240"/>
        <w:rPr>
          <w:rFonts w:eastAsia="Courier New" w:cs="Arial"/>
          <w:b/>
          <w:b/>
          <w:bCs/>
          <w:color w:val="000000"/>
          <w:kern w:val="2"/>
          <w:sz w:val="22"/>
          <w:szCs w:val="22"/>
          <w:lang w:val="pt-BR" w:eastAsia="zh-CN" w:bidi="ar-SA"/>
        </w:rPr>
      </w:pPr>
      <w:r>
        <w:rPr>
          <w:rFonts w:eastAsia="Courier New" w:cs="Arial"/>
          <w:b/>
          <w:bCs/>
          <w:color w:val="000000"/>
          <w:kern w:val="2"/>
          <w:sz w:val="22"/>
          <w:szCs w:val="22"/>
          <w:lang w:val="pt-BR" w:eastAsia="zh-CN" w:bidi="ar-SA"/>
        </w:rPr>
      </w:r>
    </w:p>
    <w:p>
      <w:pPr>
        <w:pStyle w:val="Normal"/>
        <w:widowControl w:val="false"/>
        <w:spacing w:lineRule="auto" w:line="240"/>
        <w:rPr>
          <w:sz w:val="22"/>
          <w:szCs w:val="22"/>
        </w:rPr>
      </w:pPr>
      <w:r>
        <w:rPr>
          <w:rFonts w:eastAsia="Courier New" w:cs="Arial" w:ascii="Arial" w:hAnsi="Arial"/>
          <w:b/>
          <w:bCs/>
          <w:color w:val="000000"/>
          <w:kern w:val="2"/>
          <w:sz w:val="22"/>
          <w:szCs w:val="22"/>
          <w:lang w:val="pt-BR" w:eastAsia="zh-CN" w:bidi="ar-SA"/>
        </w:rPr>
        <w:t>Fiscal Técnico:</w:t>
      </w:r>
      <w:r>
        <w:rPr>
          <w:rFonts w:eastAsia="Courier New" w:cs="Arial" w:ascii="Arial" w:hAnsi="Arial"/>
          <w:b w:val="false"/>
          <w:bCs w:val="false"/>
          <w:color w:val="000000"/>
          <w:kern w:val="2"/>
          <w:sz w:val="22"/>
          <w:szCs w:val="22"/>
          <w:lang w:val="pt-BR" w:eastAsia="zh-CN" w:bidi="ar-SA"/>
        </w:rPr>
        <w:t xml:space="preserve"> ____________________________________________________</w:t>
      </w:r>
    </w:p>
    <w:p>
      <w:pPr>
        <w:pStyle w:val="Normal"/>
        <w:widowControl w:val="false"/>
        <w:spacing w:lineRule="auto" w:line="240"/>
        <w:rPr>
          <w:rFonts w:ascii="Arial" w:hAnsi="Arial" w:eastAsia="Courier New" w:cs="Arial"/>
          <w:b w:val="false"/>
          <w:b w:val="false"/>
          <w:bCs w:val="false"/>
          <w:color w:val="000000"/>
          <w:kern w:val="2"/>
          <w:sz w:val="22"/>
          <w:szCs w:val="22"/>
          <w:lang w:val="pt-BR" w:eastAsia="zh-CN" w:bidi="ar-SA"/>
        </w:rPr>
      </w:pPr>
      <w:r>
        <w:rPr>
          <w:rFonts w:eastAsia="Courier New" w:cs="Arial" w:ascii="Arial" w:hAnsi="Arial"/>
          <w:b w:val="false"/>
          <w:bCs w:val="false"/>
          <w:color w:val="000000"/>
          <w:kern w:val="2"/>
          <w:sz w:val="22"/>
          <w:szCs w:val="22"/>
          <w:lang w:val="pt-BR" w:eastAsia="zh-CN" w:bidi="ar-SA"/>
        </w:rPr>
      </w:r>
    </w:p>
    <w:p>
      <w:pPr>
        <w:pStyle w:val="Normal"/>
        <w:widowControl w:val="false"/>
        <w:spacing w:lineRule="auto" w:line="240"/>
        <w:rPr>
          <w:sz w:val="22"/>
          <w:szCs w:val="22"/>
        </w:rPr>
      </w:pPr>
      <w:r>
        <w:rPr>
          <w:rFonts w:ascii="Arial" w:hAnsi="Arial"/>
          <w:sz w:val="22"/>
          <w:szCs w:val="22"/>
        </w:rPr>
        <w:t>CPF: __________________ Matrícula: ______________________</w:t>
      </w:r>
    </w:p>
    <w:p>
      <w:pPr>
        <w:pStyle w:val="Normal"/>
        <w:widowControl w:val="false"/>
        <w:spacing w:lineRule="auto" w:line="240"/>
        <w:rPr>
          <w:rFonts w:eastAsia="Courier New" w:cs="Arial"/>
          <w:b/>
          <w:b/>
          <w:bCs/>
          <w:color w:val="000000"/>
          <w:kern w:val="2"/>
          <w:sz w:val="22"/>
          <w:szCs w:val="22"/>
          <w:lang w:val="pt-BR" w:eastAsia="zh-CN" w:bidi="ar-SA"/>
        </w:rPr>
      </w:pPr>
      <w:r>
        <w:rPr>
          <w:rFonts w:eastAsia="Courier New" w:cs="Arial"/>
          <w:b/>
          <w:bCs/>
          <w:color w:val="000000"/>
          <w:kern w:val="2"/>
          <w:sz w:val="22"/>
          <w:szCs w:val="22"/>
          <w:lang w:val="pt-BR" w:eastAsia="zh-CN" w:bidi="ar-SA"/>
        </w:rPr>
      </w:r>
    </w:p>
    <w:p>
      <w:pPr>
        <w:pStyle w:val="Normal"/>
        <w:widowControl w:val="false"/>
        <w:spacing w:lineRule="auto" w:line="240"/>
        <w:rPr>
          <w:rFonts w:eastAsia="Courier New" w:cs="Arial"/>
          <w:b/>
          <w:b/>
          <w:bCs/>
          <w:color w:val="000000"/>
          <w:kern w:val="2"/>
          <w:sz w:val="22"/>
          <w:szCs w:val="22"/>
          <w:lang w:val="pt-BR" w:eastAsia="zh-CN" w:bidi="ar-SA"/>
        </w:rPr>
      </w:pPr>
      <w:r>
        <w:rPr>
          <w:rFonts w:eastAsia="Courier New" w:cs="Arial"/>
          <w:b/>
          <w:bCs/>
          <w:color w:val="000000"/>
          <w:kern w:val="2"/>
          <w:sz w:val="22"/>
          <w:szCs w:val="22"/>
          <w:lang w:val="pt-BR" w:eastAsia="zh-CN" w:bidi="ar-SA"/>
        </w:rPr>
      </w:r>
    </w:p>
    <w:p>
      <w:pPr>
        <w:pStyle w:val="Normal"/>
        <w:widowControl w:val="false"/>
        <w:spacing w:lineRule="auto" w:line="240"/>
        <w:rPr>
          <w:sz w:val="22"/>
          <w:szCs w:val="22"/>
        </w:rPr>
      </w:pPr>
      <w:r>
        <w:rPr>
          <w:sz w:val="22"/>
          <w:szCs w:val="22"/>
        </w:rPr>
      </w:r>
    </w:p>
    <w:p>
      <w:pPr>
        <w:pStyle w:val="Normal"/>
        <w:widowControl w:val="false"/>
        <w:spacing w:lineRule="auto" w:line="360"/>
        <w:rPr>
          <w:rFonts w:ascii="Arial" w:hAnsi="Arial" w:eastAsia="Courier New" w:cs="Arial"/>
          <w:b/>
          <w:b/>
          <w:bCs/>
          <w:color w:val="000000"/>
          <w:kern w:val="2"/>
          <w:sz w:val="22"/>
          <w:szCs w:val="22"/>
          <w:lang w:val="pt-BR" w:eastAsia="zh-CN" w:bidi="ar-SA"/>
        </w:rPr>
      </w:pPr>
      <w:r>
        <w:rPr>
          <w:rFonts w:eastAsia="Courier New" w:cs="Arial" w:ascii="Arial" w:hAnsi="Arial"/>
          <w:b/>
          <w:bCs/>
          <w:color w:val="000000"/>
          <w:kern w:val="2"/>
          <w:sz w:val="22"/>
          <w:szCs w:val="22"/>
          <w:lang w:val="pt-BR" w:eastAsia="zh-CN" w:bidi="ar-SA"/>
        </w:rPr>
      </w:r>
    </w:p>
    <w:p>
      <w:pPr>
        <w:pStyle w:val="Normal"/>
        <w:widowControl w:val="false"/>
        <w:spacing w:lineRule="auto" w:line="480"/>
        <w:rPr>
          <w:sz w:val="22"/>
          <w:szCs w:val="22"/>
        </w:rPr>
      </w:pPr>
      <w:r>
        <w:rPr>
          <w:rFonts w:eastAsia="Courier New" w:cs="Arial" w:ascii="Arial" w:hAnsi="Arial"/>
          <w:b/>
          <w:bCs/>
          <w:color w:val="000000"/>
          <w:kern w:val="2"/>
          <w:sz w:val="22"/>
          <w:szCs w:val="22"/>
          <w:lang w:val="pt-BR" w:eastAsia="zh-CN" w:bidi="ar-SA"/>
        </w:rPr>
        <w:t>TESTEMUNHAS:</w:t>
      </w:r>
    </w:p>
    <w:p>
      <w:pPr>
        <w:pStyle w:val="Normal"/>
        <w:widowControl w:val="false"/>
        <w:spacing w:lineRule="auto" w:line="480"/>
        <w:rPr>
          <w:sz w:val="22"/>
          <w:szCs w:val="22"/>
        </w:rPr>
      </w:pPr>
      <w:r>
        <w:rPr>
          <w:sz w:val="22"/>
          <w:szCs w:val="22"/>
        </w:rPr>
      </w:r>
    </w:p>
    <w:p>
      <w:pPr>
        <w:pStyle w:val="Normal"/>
        <w:widowControl w:val="false"/>
        <w:spacing w:lineRule="auto" w:line="480"/>
        <w:rPr>
          <w:sz w:val="22"/>
          <w:szCs w:val="22"/>
        </w:rPr>
      </w:pPr>
      <w:r>
        <w:rPr>
          <w:rFonts w:eastAsia="Courier New" w:cs="Arial" w:ascii="Arial" w:hAnsi="Arial"/>
          <w:color w:val="000000"/>
          <w:kern w:val="2"/>
          <w:sz w:val="22"/>
          <w:szCs w:val="22"/>
          <w:lang w:val="pt-BR" w:eastAsia="zh-CN" w:bidi="ar-SA"/>
        </w:rPr>
        <w:t>NOME: ________________________________________</w:t>
      </w:r>
    </w:p>
    <w:p>
      <w:pPr>
        <w:pStyle w:val="Normal"/>
        <w:widowControl w:val="false"/>
        <w:spacing w:lineRule="auto" w:line="480"/>
        <w:rPr>
          <w:sz w:val="22"/>
          <w:szCs w:val="22"/>
        </w:rPr>
      </w:pPr>
      <w:r>
        <w:rPr>
          <w:rFonts w:eastAsia="Courier New" w:cs="Arial" w:ascii="Arial" w:hAnsi="Arial"/>
          <w:color w:val="000000"/>
          <w:kern w:val="2"/>
          <w:sz w:val="22"/>
          <w:szCs w:val="22"/>
          <w:lang w:val="pt-BR" w:eastAsia="zh-CN" w:bidi="ar-SA"/>
        </w:rPr>
        <w:t>CPF: ___________________</w:t>
      </w:r>
    </w:p>
    <w:p>
      <w:pPr>
        <w:pStyle w:val="Normal"/>
        <w:widowControl w:val="false"/>
        <w:spacing w:lineRule="auto" w:line="480"/>
        <w:rPr>
          <w:sz w:val="22"/>
          <w:szCs w:val="22"/>
        </w:rPr>
      </w:pPr>
      <w:r>
        <w:rPr>
          <w:sz w:val="22"/>
          <w:szCs w:val="22"/>
        </w:rPr>
      </w:r>
    </w:p>
    <w:p>
      <w:pPr>
        <w:pStyle w:val="Normal"/>
        <w:widowControl w:val="false"/>
        <w:spacing w:lineRule="auto" w:line="480"/>
        <w:rPr>
          <w:sz w:val="22"/>
          <w:szCs w:val="22"/>
        </w:rPr>
      </w:pPr>
      <w:r>
        <w:rPr>
          <w:rFonts w:eastAsia="Courier New" w:cs="Arial" w:ascii="Arial" w:hAnsi="Arial"/>
          <w:color w:val="000000"/>
          <w:kern w:val="2"/>
          <w:sz w:val="22"/>
          <w:szCs w:val="22"/>
          <w:lang w:val="pt-BR" w:eastAsia="zh-CN" w:bidi="ar-SA"/>
        </w:rPr>
        <w:t>NOME: ________________________________________</w:t>
      </w:r>
    </w:p>
    <w:p>
      <w:pPr>
        <w:pStyle w:val="Normal"/>
        <w:widowControl w:val="false"/>
        <w:spacing w:lineRule="auto" w:line="480"/>
        <w:rPr>
          <w:sz w:val="22"/>
          <w:szCs w:val="22"/>
        </w:rPr>
      </w:pPr>
      <w:r>
        <w:rPr>
          <w:rFonts w:eastAsia="Courier New" w:cs="Arial" w:ascii="Arial" w:hAnsi="Arial"/>
          <w:color w:val="000000"/>
          <w:kern w:val="2"/>
          <w:sz w:val="22"/>
          <w:szCs w:val="22"/>
          <w:lang w:val="pt-BR" w:eastAsia="zh-CN" w:bidi="ar-SA"/>
        </w:rPr>
        <w:t>CPF:____________________</w:t>
      </w:r>
    </w:p>
    <w:p>
      <w:pPr>
        <w:pStyle w:val="Normal"/>
        <w:widowControl w:val="false"/>
        <w:spacing w:before="285" w:after="285"/>
        <w:jc w:val="right"/>
        <w:rPr>
          <w:rFonts w:ascii="Arial" w:hAnsi="Arial" w:eastAsia="Courier New" w:cs="Arial"/>
          <w:b/>
          <w:b/>
          <w:bCs/>
          <w:i/>
          <w:i/>
          <w:iCs/>
          <w:color w:val="000000"/>
          <w:kern w:val="2"/>
          <w:sz w:val="22"/>
          <w:szCs w:val="22"/>
          <w:lang w:val="pt-BR" w:eastAsia="zh-CN" w:bidi="ar-SA"/>
        </w:rPr>
      </w:pPr>
      <w:r>
        <w:rPr>
          <w:rFonts w:eastAsia="Courier New" w:cs="Arial" w:ascii="Arial" w:hAnsi="Arial"/>
          <w:b/>
          <w:bCs/>
          <w:i/>
          <w:iCs/>
          <w:color w:val="000000"/>
          <w:kern w:val="2"/>
          <w:sz w:val="22"/>
          <w:szCs w:val="22"/>
          <w:lang w:val="pt-BR" w:eastAsia="zh-CN" w:bidi="ar-SA"/>
        </w:rPr>
      </w:r>
    </w:p>
    <w:p>
      <w:pPr>
        <w:pStyle w:val="Normal"/>
        <w:widowControl w:val="false"/>
        <w:spacing w:before="285" w:after="285"/>
        <w:jc w:val="right"/>
        <w:rPr/>
      </w:pPr>
      <w:r>
        <w:rPr>
          <w:rFonts w:eastAsia="Courier New" w:cs="Arial" w:ascii="Arial" w:hAnsi="Arial"/>
          <w:b/>
          <w:bCs/>
          <w:i/>
          <w:iCs/>
          <w:color w:val="000000"/>
          <w:kern w:val="2"/>
          <w:sz w:val="22"/>
          <w:szCs w:val="22"/>
          <w:lang w:val="pt-BR" w:eastAsia="zh-CN" w:bidi="ar-SA"/>
        </w:rPr>
        <w:t>Minuta Ata de Registro de Preços nº _____</w:t>
      </w:r>
      <w:r>
        <w:rPr>
          <w:rFonts w:eastAsia="Courier New" w:cs="Arial" w:ascii="Arial" w:hAnsi="Arial"/>
          <w:b/>
          <w:bCs/>
          <w:i/>
          <w:iCs/>
          <w:color w:val="000000"/>
          <w:kern w:val="2"/>
          <w:sz w:val="22"/>
          <w:szCs w:val="22"/>
          <w:shd w:fill="auto" w:val="clear"/>
          <w:lang w:val="pt-BR" w:eastAsia="zh-CN" w:bidi="ar-SA"/>
        </w:rPr>
        <w:t>/2026.</w:t>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t>Anexo I</w:t>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t>ATA DE REGISTRO DE PREÇOS Nº _____/2026</w:t>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t>Cadastro Reserva</w:t>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r>
    </w:p>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t>Seguindo a ordem de classificação, segue relação de fornecedores que aceitaram cotar os itens com preços iguais ao adjudicatário:</w:t>
      </w:r>
    </w:p>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r>
    </w:p>
    <w:tbl>
      <w:tblPr>
        <w:tblW w:w="5000" w:type="pct"/>
        <w:jc w:val="left"/>
        <w:tblInd w:w="55" w:type="dxa"/>
        <w:tblLayout w:type="fixed"/>
        <w:tblCellMar>
          <w:top w:w="55" w:type="dxa"/>
          <w:left w:w="55" w:type="dxa"/>
          <w:bottom w:w="55" w:type="dxa"/>
          <w:right w:w="55" w:type="dxa"/>
        </w:tblCellMar>
      </w:tblPr>
      <w:tblGrid>
        <w:gridCol w:w="1586"/>
        <w:gridCol w:w="2827"/>
        <w:gridCol w:w="5225"/>
      </w:tblGrid>
      <w:tr>
        <w:trPr/>
        <w:tc>
          <w:tcPr>
            <w:tcW w:w="9638" w:type="dxa"/>
            <w:gridSpan w:val="3"/>
            <w:tcBorders>
              <w:top w:val="single" w:sz="4" w:space="0" w:color="000000"/>
              <w:left w:val="single" w:sz="4" w:space="0" w:color="000000"/>
              <w:bottom w:val="single" w:sz="4" w:space="0" w:color="000000"/>
              <w:right w:val="single" w:sz="4" w:space="0" w:color="000000"/>
            </w:tcBorders>
          </w:tcPr>
          <w:p>
            <w:pPr>
              <w:pStyle w:val="Contedodatabela"/>
              <w:widowControl w:val="false"/>
              <w:spacing w:lineRule="auto" w:line="360" w:before="114" w:after="114"/>
              <w:jc w:val="left"/>
              <w:rPr>
                <w:rFonts w:ascii="Arial" w:hAnsi="Arial"/>
                <w:sz w:val="22"/>
                <w:szCs w:val="22"/>
              </w:rPr>
            </w:pPr>
            <w:r>
              <w:rPr>
                <w:rFonts w:ascii="Arial" w:hAnsi="Arial"/>
                <w:sz w:val="22"/>
                <w:szCs w:val="22"/>
              </w:rPr>
              <w:t>FORNECEDOR: (RAZÃO SOCIAL CNPJ/MF)________________________________________</w:t>
            </w:r>
          </w:p>
          <w:p>
            <w:pPr>
              <w:pStyle w:val="Contedodatabela"/>
              <w:widowControl w:val="false"/>
              <w:spacing w:lineRule="auto" w:line="360" w:before="0" w:after="0"/>
              <w:jc w:val="left"/>
              <w:rPr>
                <w:rFonts w:ascii="Arial" w:hAnsi="Arial"/>
                <w:sz w:val="22"/>
                <w:szCs w:val="22"/>
              </w:rPr>
            </w:pPr>
            <w:r>
              <w:rPr>
                <w:rFonts w:ascii="Arial" w:hAnsi="Arial"/>
                <w:sz w:val="22"/>
                <w:szCs w:val="22"/>
              </w:rPr>
              <w:t>_____________________________________________________________________________</w:t>
            </w:r>
          </w:p>
          <w:p>
            <w:pPr>
              <w:pStyle w:val="Contedodatabela"/>
              <w:widowControl w:val="false"/>
              <w:spacing w:lineRule="auto" w:line="360" w:before="0" w:after="0"/>
              <w:jc w:val="left"/>
              <w:rPr>
                <w:rFonts w:ascii="Arial" w:hAnsi="Arial"/>
                <w:sz w:val="22"/>
                <w:szCs w:val="22"/>
              </w:rPr>
            </w:pPr>
            <w:r>
              <w:rPr>
                <w:rFonts w:ascii="Arial" w:hAnsi="Arial"/>
                <w:sz w:val="22"/>
                <w:szCs w:val="22"/>
              </w:rPr>
              <w:t>ENDEREÇO:__________________________________________________________________</w:t>
            </w:r>
          </w:p>
          <w:p>
            <w:pPr>
              <w:pStyle w:val="Contedodatabela"/>
              <w:widowControl w:val="false"/>
              <w:spacing w:lineRule="auto" w:line="360" w:before="57" w:after="57"/>
              <w:jc w:val="left"/>
              <w:rPr>
                <w:rFonts w:ascii="Arial" w:hAnsi="Arial"/>
                <w:sz w:val="22"/>
                <w:szCs w:val="22"/>
              </w:rPr>
            </w:pPr>
            <w:r>
              <w:rPr>
                <w:rFonts w:ascii="Arial" w:hAnsi="Arial"/>
                <w:sz w:val="22"/>
                <w:szCs w:val="22"/>
              </w:rPr>
              <w:t>CONTATOS:__________________________________________________________________</w:t>
            </w:r>
          </w:p>
          <w:p>
            <w:pPr>
              <w:pStyle w:val="Contedodatabela"/>
              <w:widowControl w:val="false"/>
              <w:spacing w:lineRule="auto" w:line="360" w:before="57" w:after="57"/>
              <w:jc w:val="left"/>
              <w:rPr>
                <w:rFonts w:ascii="Arial" w:hAnsi="Arial"/>
                <w:sz w:val="22"/>
                <w:szCs w:val="22"/>
              </w:rPr>
            </w:pPr>
            <w:r>
              <w:rPr>
                <w:rFonts w:ascii="Arial" w:hAnsi="Arial"/>
                <w:sz w:val="22"/>
                <w:szCs w:val="22"/>
              </w:rPr>
              <w:t>REPRESENTANTE:_____________________________________________________________</w:t>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ITEM DO T.R.</w:t>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ESPECIFICAÇÃO</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MARCA</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MODELO</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UNIDADE</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QUANTIDADE MÁXIMA</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QUANTIDADE MÍNIMA</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VALOR UNITÁRIO</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PRAZO – GARANTIA OU VALIDADE</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bl>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r>
    </w:p>
    <w:p>
      <w:pPr>
        <w:pStyle w:val="Normal"/>
        <w:widowControl w:val="false"/>
        <w:spacing w:lineRule="auto" w:line="360"/>
        <w:ind w:left="0" w:right="-30" w:hanging="0"/>
        <w:jc w:val="center"/>
        <w:rPr/>
      </w:pPr>
      <w:r>
        <w:rPr/>
      </w:r>
    </w:p>
    <w:sectPr>
      <w:headerReference w:type="default" r:id="rId5"/>
      <w:footerReference w:type="default" r:id="rId6"/>
      <w:type w:val="nextPage"/>
      <w:pgSz w:w="11906" w:h="16838"/>
      <w:pgMar w:left="1134" w:right="1134" w:gutter="0" w:header="375" w:top="2190" w:footer="170" w:bottom="88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 w:name="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Rodap"/>
      <w:jc w:val="right"/>
      <w:rPr>
        <w:rFonts w:ascii="Times New Roman" w:hAnsi="Times New Roman" w:cs="Times New Roman"/>
      </w:rPr>
    </w:pPr>
    <w:r>
      <w:rPr>
        <w:rFonts w:cs="Times New Roman" w:ascii="Times New Roman" w:hAnsi="Times New Roman"/>
      </w:rPr>
      <w:fldChar w:fldCharType="begin"/>
    </w:r>
    <w:r>
      <w:rPr>
        <w:rFonts w:cs="Times New Roman" w:ascii="Times New Roman" w:hAnsi="Times New Roman"/>
      </w:rPr>
      <w:instrText xml:space="preserve"> PAGE </w:instrText>
    </w:r>
    <w:r>
      <w:rPr>
        <w:rFonts w:cs="Times New Roman" w:ascii="Times New Roman" w:hAnsi="Times New Roman"/>
      </w:rPr>
      <w:fldChar w:fldCharType="separate"/>
    </w:r>
    <w:r>
      <w:rPr>
        <w:rFonts w:cs="Times New Roman" w:ascii="Times New Roman" w:hAnsi="Times New Roman"/>
      </w:rPr>
      <w:t>26</w:t>
    </w:r>
    <w:r>
      <w:rPr>
        <w:rFonts w:cs="Times New Roman" w:ascii="Times New Roman" w:hAnsi="Times New Roman"/>
      </w:rPr>
      <w:fldChar w:fldCharType="end"/>
    </w:r>
  </w:p>
  <w:p>
    <w:pPr>
      <w:pStyle w:val="Rodap"/>
      <w:rPr>
        <w:rFonts w:ascii="Times New Roman" w:hAnsi="Times New Roman" w:cs="Times New Roman"/>
      </w:rPr>
    </w:pPr>
    <w:r>
      <w:rPr>
        <w:rFonts w:cs="Times New Roman" w:ascii="Times New Roman" w:hAnsi="Times New Roman"/>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before="8" w:after="0"/>
      <w:ind w:left="0" w:right="2836" w:hanging="0"/>
      <w:jc w:val="center"/>
      <w:rPr>
        <w:rFonts w:ascii="Times New Roman" w:hAnsi="Times New Roman" w:cs="Times New Roman"/>
        <w:i/>
        <w:i/>
        <w:sz w:val="22"/>
        <w:szCs w:val="22"/>
      </w:rPr>
    </w:pPr>
    <w:r>
      <w:rPr>
        <w:rFonts w:cs="Times New Roman" w:ascii="Times New Roman" w:hAnsi="Times New Roman"/>
        <w:i/>
        <w:sz w:val="22"/>
        <w:szCs w:val="22"/>
      </w:rPr>
      <w:drawing>
        <wp:anchor behindDoc="1" distT="0" distB="0" distL="0" distR="0" simplePos="0" locked="0" layoutInCell="0" allowOverlap="1" relativeHeight="53">
          <wp:simplePos x="0" y="0"/>
          <wp:positionH relativeFrom="column">
            <wp:posOffset>-470535</wp:posOffset>
          </wp:positionH>
          <wp:positionV relativeFrom="paragraph">
            <wp:posOffset>20955</wp:posOffset>
          </wp:positionV>
          <wp:extent cx="1050925" cy="982980"/>
          <wp:effectExtent l="0" t="0" r="0" b="0"/>
          <wp:wrapSquare wrapText="largest"/>
          <wp:docPr id="10"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a2" descr=""/>
                  <pic:cNvPicPr>
                    <a:picLocks noChangeAspect="1" noChangeArrowheads="1"/>
                  </pic:cNvPicPr>
                </pic:nvPicPr>
                <pic:blipFill>
                  <a:blip r:embed="rId1"/>
                  <a:srcRect l="-2029" t="-1838" r="-2029" b="-1838"/>
                  <a:stretch>
                    <a:fillRect/>
                  </a:stretch>
                </pic:blipFill>
                <pic:spPr bwMode="auto">
                  <a:xfrm>
                    <a:off x="0" y="0"/>
                    <a:ext cx="1050925" cy="982980"/>
                  </a:xfrm>
                  <a:prstGeom prst="rect">
                    <a:avLst/>
                  </a:prstGeom>
                </pic:spPr>
              </pic:pic>
            </a:graphicData>
          </a:graphic>
        </wp:anchor>
      </w:drawing>
    </w:r>
  </w:p>
  <w:p>
    <w:pPr>
      <w:pStyle w:val="Normal"/>
      <w:spacing w:before="8" w:after="0"/>
      <w:ind w:left="0" w:right="2836" w:hanging="0"/>
      <w:jc w:val="center"/>
      <w:rPr/>
    </w:pPr>
    <w:r>
      <w:rPr>
        <w:rFonts w:cs="Times New Roman" w:ascii="Times New Roman" w:hAnsi="Times New Roman"/>
        <w:b/>
        <w:i/>
        <w:sz w:val="28"/>
        <w:szCs w:val="28"/>
      </w:rPr>
      <w:tab/>
      <w:t>República</w:t>
    </w:r>
    <w:r>
      <w:rPr>
        <w:rFonts w:cs="Times New Roman" w:ascii="Times New Roman" w:hAnsi="Times New Roman"/>
        <w:b/>
        <w:i/>
        <w:spacing w:val="-1"/>
        <w:sz w:val="28"/>
        <w:szCs w:val="28"/>
      </w:rPr>
      <w:t xml:space="preserve"> </w:t>
    </w:r>
    <w:r>
      <w:rPr>
        <w:rFonts w:cs="Times New Roman" w:ascii="Times New Roman" w:hAnsi="Times New Roman"/>
        <w:b/>
        <w:i/>
        <w:sz w:val="28"/>
        <w:szCs w:val="28"/>
      </w:rPr>
      <w:t>Federativa</w:t>
    </w:r>
    <w:r>
      <w:rPr>
        <w:rFonts w:cs="Times New Roman" w:ascii="Times New Roman" w:hAnsi="Times New Roman"/>
        <w:b/>
        <w:i/>
        <w:spacing w:val="-1"/>
        <w:sz w:val="28"/>
        <w:szCs w:val="28"/>
      </w:rPr>
      <w:t xml:space="preserve"> </w:t>
    </w:r>
    <w:r>
      <w:rPr>
        <w:rFonts w:cs="Times New Roman" w:ascii="Times New Roman" w:hAnsi="Times New Roman"/>
        <w:b/>
        <w:i/>
        <w:sz w:val="28"/>
        <w:szCs w:val="28"/>
      </w:rPr>
      <w:t>do</w:t>
    </w:r>
    <w:r>
      <w:rPr>
        <w:rFonts w:cs="Times New Roman" w:ascii="Times New Roman" w:hAnsi="Times New Roman"/>
        <w:b/>
        <w:i/>
        <w:spacing w:val="-3"/>
        <w:sz w:val="28"/>
        <w:szCs w:val="28"/>
      </w:rPr>
      <w:t xml:space="preserve"> </w:t>
    </w:r>
    <w:r>
      <w:rPr>
        <w:rFonts w:cs="Times New Roman" w:ascii="Times New Roman" w:hAnsi="Times New Roman"/>
        <w:b/>
        <w:i/>
        <w:sz w:val="28"/>
        <w:szCs w:val="28"/>
      </w:rPr>
      <w:t xml:space="preserve">Brasil </w:t>
    </w:r>
  </w:p>
  <w:p>
    <w:pPr>
      <w:pStyle w:val="Normal"/>
      <w:spacing w:before="8" w:after="0"/>
      <w:ind w:left="0" w:right="2836" w:hanging="0"/>
      <w:jc w:val="center"/>
      <w:rPr>
        <w:rFonts w:ascii="Times New Roman" w:hAnsi="Times New Roman" w:cs="Times New Roman"/>
        <w:i/>
        <w:i/>
        <w:sz w:val="28"/>
        <w:szCs w:val="28"/>
      </w:rPr>
    </w:pPr>
    <w:r>
      <w:rPr>
        <w:rFonts w:cs="Times New Roman" w:ascii="Times New Roman" w:hAnsi="Times New Roman"/>
        <w:i/>
        <w:sz w:val="28"/>
        <w:szCs w:val="28"/>
      </w:rPr>
      <w:tab/>
      <w:t>Estado do Rio de Janeiro</w:t>
    </w:r>
  </w:p>
  <w:p>
    <w:pPr>
      <w:pStyle w:val="Normal"/>
      <w:spacing w:before="8" w:after="0"/>
      <w:ind w:left="189" w:right="2836" w:hanging="0"/>
      <w:jc w:val="center"/>
      <w:rPr/>
    </w:pPr>
    <w:r>
      <w:rPr>
        <w:rFonts w:cs="Times New Roman" w:ascii="Times New Roman" w:hAnsi="Times New Roman"/>
        <w:b/>
        <w:i/>
        <w:sz w:val="28"/>
        <w:szCs w:val="28"/>
      </w:rPr>
      <w:tab/>
      <w:t>Prefeitura</w:t>
    </w:r>
    <w:r>
      <w:rPr>
        <w:rFonts w:cs="Times New Roman" w:ascii="Times New Roman" w:hAnsi="Times New Roman"/>
        <w:b/>
        <w:i/>
        <w:spacing w:val="-5"/>
        <w:sz w:val="28"/>
        <w:szCs w:val="28"/>
      </w:rPr>
      <w:t xml:space="preserve"> </w:t>
    </w:r>
    <w:r>
      <w:rPr>
        <w:rFonts w:cs="Times New Roman" w:ascii="Times New Roman" w:hAnsi="Times New Roman"/>
        <w:b/>
        <w:i/>
        <w:sz w:val="28"/>
        <w:szCs w:val="28"/>
      </w:rPr>
      <w:t>Municipal</w:t>
    </w:r>
    <w:r>
      <w:rPr>
        <w:rFonts w:cs="Times New Roman" w:ascii="Times New Roman" w:hAnsi="Times New Roman"/>
        <w:b/>
        <w:i/>
        <w:spacing w:val="-3"/>
        <w:sz w:val="28"/>
        <w:szCs w:val="28"/>
      </w:rPr>
      <w:t xml:space="preserve"> </w:t>
    </w:r>
    <w:r>
      <w:rPr>
        <w:rFonts w:cs="Times New Roman" w:ascii="Times New Roman" w:hAnsi="Times New Roman"/>
        <w:b/>
        <w:i/>
        <w:sz w:val="28"/>
        <w:szCs w:val="28"/>
      </w:rPr>
      <w:t>de</w:t>
    </w:r>
    <w:r>
      <w:rPr>
        <w:rFonts w:cs="Times New Roman" w:ascii="Times New Roman" w:hAnsi="Times New Roman"/>
        <w:b/>
        <w:i/>
        <w:spacing w:val="-6"/>
        <w:sz w:val="28"/>
        <w:szCs w:val="28"/>
      </w:rPr>
      <w:t xml:space="preserve"> </w:t>
    </w:r>
    <w:r>
      <w:drawing>
        <wp:anchor behindDoc="1" distT="0" distB="0" distL="0" distR="0" simplePos="0" locked="0" layoutInCell="0" allowOverlap="1" relativeHeight="27">
          <wp:simplePos x="0" y="0"/>
          <wp:positionH relativeFrom="column">
            <wp:posOffset>4213225</wp:posOffset>
          </wp:positionH>
          <wp:positionV relativeFrom="paragraph">
            <wp:posOffset>-323215</wp:posOffset>
          </wp:positionV>
          <wp:extent cx="1826895" cy="620395"/>
          <wp:effectExtent l="0" t="0" r="0" b="0"/>
          <wp:wrapNone/>
          <wp:docPr id="11"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a1" descr=""/>
                  <pic:cNvPicPr>
                    <a:picLocks noChangeAspect="1" noChangeArrowheads="1"/>
                  </pic:cNvPicPr>
                </pic:nvPicPr>
                <pic:blipFill>
                  <a:blip r:embed="rId2"/>
                  <a:srcRect l="-3374" t="-7353" r="-3374" b="-7353"/>
                  <a:stretch>
                    <a:fillRect/>
                  </a:stretch>
                </pic:blipFill>
                <pic:spPr bwMode="auto">
                  <a:xfrm>
                    <a:off x="0" y="0"/>
                    <a:ext cx="1826895" cy="620395"/>
                  </a:xfrm>
                  <a:prstGeom prst="rect">
                    <a:avLst/>
                  </a:prstGeom>
                </pic:spPr>
              </pic:pic>
            </a:graphicData>
          </a:graphic>
        </wp:anchor>
      </w:drawing>
    </w:r>
    <w:r>
      <w:rPr>
        <w:rFonts w:cs="Times New Roman" w:ascii="Times New Roman" w:hAnsi="Times New Roman"/>
        <w:b/>
        <w:i/>
        <w:sz w:val="28"/>
        <w:szCs w:val="28"/>
      </w:rPr>
      <w:t>Quissamã</w:t>
    </w:r>
  </w:p>
  <w:p>
    <w:pPr>
      <w:pStyle w:val="Normal"/>
      <w:spacing w:before="8" w:after="0"/>
      <w:ind w:left="189" w:right="2836" w:hanging="0"/>
      <w:jc w:val="center"/>
      <w:rPr>
        <w:rFonts w:ascii="Times New Roman" w:hAnsi="Times New Roman" w:cs="Times New Roman"/>
        <w:b/>
        <w:b/>
        <w:i/>
        <w:i/>
        <w:sz w:val="28"/>
        <w:szCs w:val="28"/>
      </w:rPr>
    </w:pPr>
    <w:r>
      <w:rPr>
        <w:rFonts w:cs="Times New Roman" w:ascii="Times New Roman" w:hAnsi="Times New Roman"/>
        <w:b/>
        <w:i/>
        <w:sz w:val="28"/>
        <w:szCs w:val="28"/>
      </w:rPr>
    </w:r>
  </w:p>
  <w:p>
    <w:pPr>
      <w:pStyle w:val="Normal"/>
      <w:spacing w:before="8" w:after="0"/>
      <w:ind w:left="189" w:right="2836" w:hanging="0"/>
      <w:jc w:val="center"/>
      <w:rPr>
        <w:rFonts w:ascii="Times New Roman" w:hAnsi="Times New Roman" w:cs="Times New Roman"/>
        <w:i/>
        <w:i/>
        <w:sz w:val="22"/>
        <w:szCs w:val="22"/>
      </w:rPr>
    </w:pPr>
    <w:r>
      <w:rPr>
        <w:rFonts w:cs="Times New Roman" w:ascii="Times New Roman" w:hAnsi="Times New Roman"/>
        <w:i/>
        <w:sz w:val="22"/>
        <w:szCs w:val="22"/>
      </w:rPr>
    </w:r>
  </w:p>
  <w:p>
    <w:pPr>
      <w:pStyle w:val="Normal"/>
      <w:spacing w:before="8" w:after="0"/>
      <w:ind w:left="0" w:right="2836" w:hanging="0"/>
      <w:jc w:val="center"/>
      <w:rPr>
        <w:rFonts w:ascii="Times New Roman" w:hAnsi="Times New Roman" w:cs="Times New Roman"/>
        <w:i/>
        <w:i/>
        <w:sz w:val="22"/>
        <w:szCs w:val="22"/>
      </w:rPr>
    </w:pPr>
    <w:r>
      <w:rPr>
        <w:rFonts w:cs="Times New Roman" w:ascii="Times New Roman" w:hAnsi="Times New Roman"/>
        <w:i/>
        <w:sz w:val="22"/>
        <w:szCs w:val="22"/>
      </w:rPr>
      <w:tab/>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2">
    <w:lvl w:ilvl="0">
      <w:start w:val="1"/>
      <w:numFmt w:val="decimal"/>
      <w:lvlText w:val="%1."/>
      <w:lvlJc w:val="left"/>
      <w:pPr>
        <w:tabs>
          <w:tab w:val="num" w:pos="0"/>
        </w:tabs>
        <w:ind w:left="360" w:hanging="360"/>
      </w:pPr>
      <w:rPr>
        <w:sz w:val="22"/>
        <w:b w:val="false"/>
        <w:rFonts w:ascii="Arial" w:hAnsi="Arial"/>
        <w:color w:val="auto"/>
      </w:rPr>
    </w:lvl>
    <w:lvl w:ilvl="1">
      <w:start w:val="1"/>
      <w:numFmt w:val="decimal"/>
      <w:lvlText w:val="%1.%2."/>
      <w:lvlJc w:val="left"/>
      <w:pPr>
        <w:tabs>
          <w:tab w:val="num" w:pos="0"/>
        </w:tabs>
        <w:ind w:left="1283" w:hanging="432"/>
      </w:pPr>
      <w:rPr>
        <w:sz w:val="20"/>
        <w:i w:val="false"/>
        <w:szCs w:val="20"/>
        <w:iCs w:val="false"/>
        <w:rFonts w:ascii="Arial" w:hAnsi="Arial"/>
        <w:color w:val="000000"/>
      </w:rPr>
    </w:lvl>
    <w:lvl w:ilvl="2">
      <w:start w:val="1"/>
      <w:numFmt w:val="decimal"/>
      <w:lvlText w:val="%1.%2.%3."/>
      <w:lvlJc w:val="left"/>
      <w:pPr>
        <w:tabs>
          <w:tab w:val="num" w:pos="0"/>
        </w:tabs>
        <w:ind w:left="1497"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mirrorMargins/>
  <w:defaultTabStop w:val="709"/>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style w:type="paragraph" w:styleId="Normal">
    <w:name w:val="Normal"/>
    <w:qFormat/>
    <w:pPr>
      <w:widowControl/>
      <w:suppressAutoHyphens w:val="true"/>
      <w:overflowPunct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pPr>
      <w:keepNext w:val="true"/>
      <w:keepLines/>
      <w:spacing w:before="480" w:after="0"/>
      <w:outlineLvl w:val="0"/>
    </w:pPr>
    <w:rPr>
      <w:rFonts w:ascii="Cambria" w:hAnsi="Cambria" w:eastAsia="Times New Roman" w:cs="Times New Roman"/>
      <w:b/>
      <w:bCs/>
      <w:color w:val="365F91"/>
      <w:sz w:val="28"/>
      <w:szCs w:val="28"/>
    </w:rPr>
  </w:style>
  <w:style w:type="character" w:styleId="DefaultParagraphFont">
    <w:name w:val="Default Paragraph Font"/>
    <w:qFormat/>
    <w:rPr/>
  </w:style>
  <w:style w:type="character" w:styleId="GradeColoridanfase1Char">
    <w:name w:val="Grade Colorida - Ênfase 1 Char"/>
    <w:qFormat/>
    <w:rPr>
      <w:rFonts w:ascii="Ecofont_Spranq_eco_Sans" w:hAnsi="Ecofont_Spranq_eco_Sans" w:eastAsia="Calibri" w:cs="Tahoma"/>
      <w:i/>
      <w:iCs/>
      <w:color w:val="000000"/>
      <w:szCs w:val="24"/>
      <w:lang w:val="pt-BR" w:eastAsia="en-US" w:bidi="ar-SA"/>
    </w:rPr>
  </w:style>
  <w:style w:type="character" w:styleId="CorpodetextoChar">
    <w:name w:val="Corpo de texto Char"/>
    <w:qFormat/>
    <w:rPr>
      <w:sz w:val="24"/>
      <w:szCs w:val="24"/>
    </w:rPr>
  </w:style>
  <w:style w:type="character" w:styleId="LinkdaInternet">
    <w:name w:val="Hyperlink"/>
    <w:rPr>
      <w:color w:val="0000FF"/>
      <w:u w:val="single"/>
    </w:rPr>
  </w:style>
  <w:style w:type="character" w:styleId="CabealhoChar">
    <w:name w:val="Cabeçalho Char"/>
    <w:basedOn w:val="DefaultParagraphFont"/>
    <w:qFormat/>
    <w:rPr>
      <w:rFonts w:ascii="Ecofont_Spranq_eco_Sans" w:hAnsi="Ecofont_Spranq_eco_Sans" w:cs="Tahoma"/>
      <w:sz w:val="24"/>
      <w:szCs w:val="24"/>
    </w:rPr>
  </w:style>
  <w:style w:type="character" w:styleId="RodapChar">
    <w:name w:val="Rodapé Char"/>
    <w:basedOn w:val="DefaultParagraphFont"/>
    <w:qFormat/>
    <w:rPr>
      <w:rFonts w:ascii="Ecofont_Spranq_eco_Sans" w:hAnsi="Ecofont_Spranq_eco_Sans" w:cs="Tahoma"/>
      <w:sz w:val="24"/>
      <w:szCs w:val="24"/>
    </w:rPr>
  </w:style>
  <w:style w:type="character" w:styleId="Citao2Char">
    <w:name w:val="citação 2 Char"/>
    <w:basedOn w:val="CitaoChar"/>
    <w:qFormat/>
    <w:rPr>
      <w:rFonts w:ascii="Ecofont_Spranq_eco_Sans" w:hAnsi="Ecofont_Spranq_eco_Sans" w:eastAsia="Calibri" w:cs="Tahoma"/>
      <w:i/>
      <w:iCs/>
      <w:color w:val="000000"/>
      <w:sz w:val="24"/>
      <w:szCs w:val="24"/>
      <w:shd w:fill="FFFFCC" w:val="clear"/>
      <w:lang w:eastAsia="en-US"/>
    </w:rPr>
  </w:style>
  <w:style w:type="character" w:styleId="CitaoChar">
    <w:name w:val="Citação Char"/>
    <w:basedOn w:val="DefaultParagraphFont"/>
    <w:qFormat/>
    <w:rPr>
      <w:rFonts w:ascii="Ecofont_Spranq_eco_Sans" w:hAnsi="Ecofont_Spranq_eco_Sans" w:cs="Tahoma"/>
      <w:i/>
      <w:iCs/>
      <w:color w:val="000000"/>
      <w:sz w:val="24"/>
      <w:szCs w:val="24"/>
    </w:rPr>
  </w:style>
  <w:style w:type="character" w:styleId="Ttulo1Char">
    <w:name w:val="Título 1 Char"/>
    <w:basedOn w:val="DefaultParagraphFont"/>
    <w:qFormat/>
    <w:rPr>
      <w:rFonts w:ascii="Cambria" w:hAnsi="Cambria" w:eastAsia="Times New Roman" w:cs="Times New Roman"/>
      <w:b/>
      <w:bCs/>
      <w:color w:val="365F91"/>
      <w:sz w:val="28"/>
      <w:szCs w:val="28"/>
    </w:rPr>
  </w:style>
  <w:style w:type="character" w:styleId="Nivel1Char">
    <w:name w:val="Nivel1 Char"/>
    <w:basedOn w:val="Ttulo1Char"/>
    <w:link w:val="Nivel1"/>
    <w:qFormat/>
    <w:rPr>
      <w:rFonts w:ascii="Arial" w:hAnsi="Arial" w:eastAsia="Times New Roman" w:cs="Arial"/>
      <w:b/>
      <w:bCs/>
      <w:color w:val="365F91"/>
      <w:sz w:val="28"/>
      <w:szCs w:val="28"/>
    </w:rPr>
  </w:style>
  <w:style w:type="character" w:styleId="Annotationreference">
    <w:name w:val="annotation reference"/>
    <w:basedOn w:val="DefaultParagraphFont"/>
    <w:qFormat/>
    <w:rPr>
      <w:sz w:val="16"/>
      <w:szCs w:val="16"/>
    </w:rPr>
  </w:style>
  <w:style w:type="character" w:styleId="TextodecomentrioChar">
    <w:name w:val="Texto de comentário Char"/>
    <w:basedOn w:val="DefaultParagraphFont"/>
    <w:qFormat/>
    <w:rPr>
      <w:rFonts w:ascii="Ecofont_Spranq_eco_Sans" w:hAnsi="Ecofont_Spranq_eco_Sans" w:cs="Tahoma"/>
    </w:rPr>
  </w:style>
  <w:style w:type="character" w:styleId="AssuntodocomentrioChar">
    <w:name w:val="Assunto do comentário Char"/>
    <w:basedOn w:val="TextodecomentrioChar"/>
    <w:qFormat/>
    <w:rPr>
      <w:rFonts w:ascii="Ecofont_Spranq_eco_Sans" w:hAnsi="Ecofont_Spranq_eco_Sans" w:cs="Tahoma"/>
      <w:b/>
      <w:bCs/>
    </w:rPr>
  </w:style>
  <w:style w:type="character" w:styleId="TextodebaloChar">
    <w:name w:val="Texto de balão Char"/>
    <w:basedOn w:val="DefaultParagraphFont"/>
    <w:qFormat/>
    <w:rPr>
      <w:rFonts w:ascii="Segoe UI" w:hAnsi="Segoe UI" w:cs="Segoe UI"/>
      <w:sz w:val="18"/>
      <w:szCs w:val="18"/>
    </w:rPr>
  </w:style>
  <w:style w:type="character" w:styleId="Nivel01Char">
    <w:name w:val="Nivel 01 Char"/>
    <w:basedOn w:val="DefaultParagraphFont"/>
    <w:link w:val="Nivel01"/>
    <w:qFormat/>
    <w:rPr>
      <w:rFonts w:ascii="Arial" w:hAnsi="Arial" w:eastAsia="Times New Roman" w:cs="Arial"/>
      <w:b/>
      <w:bCs/>
      <w:lang w:eastAsia="en-US"/>
    </w:rPr>
  </w:style>
  <w:style w:type="character" w:styleId="Nivel2Char">
    <w:name w:val="Nivel 2 Char"/>
    <w:basedOn w:val="DefaultParagraphFont"/>
    <w:link w:val="Nivel2"/>
    <w:qFormat/>
    <w:rPr>
      <w:rFonts w:ascii="Arial" w:hAnsi="Arial" w:cs="Arial"/>
    </w:rPr>
  </w:style>
  <w:style w:type="character" w:styleId="Nvel2RedChar">
    <w:name w:val="Nível 2 -Red Char"/>
    <w:basedOn w:val="Nivel2Char"/>
    <w:qFormat/>
    <w:rPr>
      <w:rFonts w:ascii="Arial" w:hAnsi="Arial" w:cs="Arial"/>
      <w:i/>
      <w:iCs/>
      <w:color w:val="FF0000"/>
    </w:rPr>
  </w:style>
  <w:style w:type="character" w:styleId="OuChar">
    <w:name w:val="ou Char"/>
    <w:basedOn w:val="DefaultParagraphFont"/>
    <w:qFormat/>
    <w:rPr>
      <w:rFonts w:ascii="Arial" w:hAnsi="Arial" w:eastAsia="Calibri" w:cs="Arial"/>
      <w:b/>
      <w:bCs/>
      <w:i/>
      <w:iCs/>
      <w:color w:val="FF0000"/>
      <w:szCs w:val="24"/>
      <w:u w:val="single"/>
    </w:rPr>
  </w:style>
  <w:style w:type="character" w:styleId="Nvel3RChar">
    <w:name w:val="Nível 3-R Char"/>
    <w:basedOn w:val="DefaultParagraphFont"/>
    <w:qFormat/>
    <w:rPr>
      <w:rFonts w:ascii="Arial" w:hAnsi="Arial" w:eastAsia="Times New Roman" w:cs="Arial"/>
      <w:i/>
      <w:iCs/>
      <w:color w:val="FF0000"/>
    </w:rPr>
  </w:style>
  <w:style w:type="character" w:styleId="Nvel3Char">
    <w:name w:val="Nível 3 Char"/>
    <w:basedOn w:val="Nvel3RChar"/>
    <w:link w:val="Nvel3"/>
    <w:qFormat/>
    <w:rPr>
      <w:rFonts w:ascii="Arial" w:hAnsi="Arial" w:eastAsia="Times New Roman" w:cs="Arial"/>
      <w:i w:val="false"/>
      <w:iCs w:val="false"/>
      <w:color w:val="FF0000"/>
    </w:rPr>
  </w:style>
  <w:style w:type="character" w:styleId="Nvel4Char">
    <w:name w:val="Nível 4 Char"/>
    <w:basedOn w:val="Nvel3Char"/>
    <w:link w:val="Nvel4"/>
    <w:qFormat/>
    <w:rPr>
      <w:rFonts w:ascii="Arial" w:hAnsi="Arial" w:eastAsia="Times New Roman" w:cs="Arial"/>
      <w:i w:val="false"/>
      <w:iCs w:val="false"/>
      <w:color w:val="FF0000"/>
    </w:rPr>
  </w:style>
  <w:style w:type="character" w:styleId="SubTitNNChar">
    <w:name w:val="SubTitNN Char"/>
    <w:basedOn w:val="DefaultParagraphFont"/>
    <w:link w:val="SubTitNN"/>
    <w:qFormat/>
    <w:rPr>
      <w:rFonts w:ascii="Arial" w:hAnsi="Arial" w:cs="Arial"/>
      <w:b/>
      <w:bCs/>
      <w:iCs/>
    </w:rPr>
  </w:style>
  <w:style w:type="character" w:styleId="Fontepargpadro3">
    <w:name w:val="Fonte parág. padrão3"/>
    <w:qFormat/>
    <w:rPr/>
  </w:style>
  <w:style w:type="character" w:styleId="Fontepargpadro2">
    <w:name w:val="Fonte parág. padrão2"/>
    <w:qFormat/>
    <w:rPr/>
  </w:style>
  <w:style w:type="character" w:styleId="Fontepargpadro">
    <w:name w:val="Fonte parág. padrão"/>
    <w:qFormat/>
    <w:rPr/>
  </w:style>
  <w:style w:type="character" w:styleId="Smbolosdenumerao">
    <w:name w:val="Símbolos de numeração"/>
    <w:qFormat/>
    <w:rPr/>
  </w:style>
  <w:style w:type="character" w:styleId="Strong">
    <w:name w:val="Strong"/>
    <w:qFormat/>
    <w:rPr>
      <w:b/>
      <w:bCs/>
    </w:rPr>
  </w:style>
  <w:style w:type="character" w:styleId="Linkdainternetvisitado">
    <w:name w:val="FollowedHyperlink"/>
    <w:rPr>
      <w:color w:val="800000"/>
      <w:u w:val="single"/>
      <w:lang w:val="zxx" w:eastAsia="zxx" w:bidi="zxx"/>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pPr>
      <w:spacing w:before="280" w:after="280"/>
    </w:pPr>
    <w:rPr>
      <w:rFonts w:ascii="Times New Roman" w:hAnsi="Times New Roman" w:cs="Times New Roman"/>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lang w:val="zxx" w:eastAsia="zxx" w:bidi="zxx"/>
    </w:rPr>
  </w:style>
  <w:style w:type="paragraph" w:styleId="GradeColoridanfase11">
    <w:name w:val="Grade Colorida - Ênfase 11"/>
    <w:basedOn w:val="Normal"/>
    <w:next w:val="Normal"/>
    <w:qFormat/>
    <w:pPr>
      <w:pBdr>
        <w:top w:val="single" w:sz="4" w:space="1" w:color="1F497D"/>
        <w:left w:val="single" w:sz="4" w:space="4" w:color="1F497D"/>
        <w:bottom w:val="single" w:sz="4" w:space="1" w:color="1F497D"/>
        <w:right w:val="single" w:sz="4" w:space="4" w:color="1F497D"/>
      </w:pBdr>
      <w:shd w:val="clear" w:fill="FFFFCC"/>
      <w:spacing w:before="120" w:after="0"/>
      <w:jc w:val="both"/>
    </w:pPr>
    <w:rPr>
      <w:rFonts w:eastAsia="Calibri"/>
      <w:i/>
      <w:iCs/>
      <w:color w:val="000000"/>
      <w:sz w:val="20"/>
      <w:lang w:eastAsia="en-US"/>
    </w:rPr>
  </w:style>
  <w:style w:type="paragraph" w:styleId="ListParagraph">
    <w:name w:val="List Paragraph"/>
    <w:basedOn w:val="Normal"/>
    <w:qFormat/>
    <w:pPr>
      <w:spacing w:before="0" w:after="0"/>
      <w:ind w:left="720" w:right="0" w:hanging="0"/>
      <w:contextualSpacing/>
    </w:pPr>
    <w:rPr/>
  </w:style>
  <w:style w:type="paragraph" w:styleId="CabealhoeRodap">
    <w:name w:val="Cabeçalho e Rodapé"/>
    <w:basedOn w:val="Normal"/>
    <w:qFormat/>
    <w:pPr/>
    <w:rPr/>
  </w:style>
  <w:style w:type="paragraph" w:styleId="Cabealho">
    <w:name w:val="Header"/>
    <w:basedOn w:val="Normal"/>
    <w:link w:val="CabealhoChar"/>
    <w:pPr>
      <w:tabs>
        <w:tab w:val="clear" w:pos="709"/>
        <w:tab w:val="center" w:pos="4252" w:leader="none"/>
        <w:tab w:val="right" w:pos="8504" w:leader="none"/>
      </w:tabs>
    </w:pPr>
    <w:rPr/>
  </w:style>
  <w:style w:type="paragraph" w:styleId="Rodap">
    <w:name w:val="Footer"/>
    <w:basedOn w:val="Normal"/>
    <w:link w:val="RodapChar"/>
    <w:pPr>
      <w:tabs>
        <w:tab w:val="clear" w:pos="709"/>
        <w:tab w:val="center" w:pos="4252" w:leader="none"/>
        <w:tab w:val="right" w:pos="8504" w:leader="none"/>
      </w:tabs>
    </w:pPr>
    <w:rPr/>
  </w:style>
  <w:style w:type="paragraph" w:styleId="Citao2">
    <w:name w:val="citação 2"/>
    <w:basedOn w:val="Quote"/>
    <w:qFormat/>
    <w:pPr>
      <w:pBdr>
        <w:top w:val="single" w:sz="4" w:space="1" w:color="1F497D"/>
        <w:left w:val="single" w:sz="4" w:space="4" w:color="1F497D"/>
        <w:bottom w:val="single" w:sz="4" w:space="1" w:color="1F497D"/>
        <w:right w:val="single" w:sz="4" w:space="4" w:color="1F497D"/>
      </w:pBdr>
      <w:shd w:val="clear" w:fill="FFFFCC"/>
      <w:spacing w:before="120" w:after="0"/>
      <w:jc w:val="both"/>
    </w:pPr>
    <w:rPr>
      <w:rFonts w:eastAsia="Calibri"/>
      <w:color w:val="000000"/>
      <w:lang w:eastAsia="en-US"/>
    </w:rPr>
  </w:style>
  <w:style w:type="paragraph" w:styleId="Quote">
    <w:name w:val="Quote"/>
    <w:basedOn w:val="Normal"/>
    <w:next w:val="Normal"/>
    <w:link w:val="CitaoChar"/>
    <w:qFormat/>
    <w:pPr/>
    <w:rPr>
      <w:i/>
      <w:iCs/>
      <w:color w:val="000000"/>
    </w:rPr>
  </w:style>
  <w:style w:type="paragraph" w:styleId="Nivel1">
    <w:name w:val="Nivel1"/>
    <w:basedOn w:val="Ttulo1"/>
    <w:next w:val="Normal"/>
    <w:link w:val="Nivel1Char"/>
    <w:qFormat/>
    <w:pPr>
      <w:widowControl w:val="false"/>
      <w:spacing w:lineRule="auto" w:line="276" w:before="480" w:after="120"/>
      <w:ind w:left="360" w:right="0" w:hanging="360"/>
      <w:jc w:val="both"/>
      <w:outlineLvl w:val="9"/>
    </w:pPr>
    <w:rPr>
      <w:rFonts w:ascii="Arial" w:hAnsi="Arial" w:cs="Arial"/>
      <w:color w:val="auto"/>
      <w:sz w:val="20"/>
      <w:szCs w:val="20"/>
    </w:rPr>
  </w:style>
  <w:style w:type="paragraph" w:styleId="Nivel01">
    <w:name w:val="Nivel 01"/>
    <w:basedOn w:val="Ttulo1"/>
    <w:next w:val="Normal"/>
    <w:link w:val="Nivel01Char"/>
    <w:qFormat/>
    <w:pPr>
      <w:tabs>
        <w:tab w:val="clear" w:pos="709"/>
        <w:tab w:val="left" w:pos="567" w:leader="none"/>
      </w:tabs>
      <w:spacing w:lineRule="auto" w:line="276" w:before="120" w:after="120"/>
      <w:ind w:left="0" w:right="0" w:hanging="0"/>
      <w:jc w:val="both"/>
      <w:outlineLvl w:val="9"/>
    </w:pPr>
    <w:rPr>
      <w:rFonts w:ascii="Arial" w:hAnsi="Arial" w:cs="Arial"/>
      <w:color w:val="auto"/>
      <w:sz w:val="20"/>
      <w:szCs w:val="20"/>
      <w:lang w:eastAsia="en-US"/>
    </w:rPr>
  </w:style>
  <w:style w:type="paragraph" w:styleId="Annotationtext">
    <w:name w:val="annotation text"/>
    <w:basedOn w:val="Normal"/>
    <w:link w:val="TextodecomentrioChar"/>
    <w:qFormat/>
    <w:pPr/>
    <w:rPr>
      <w:sz w:val="20"/>
      <w:szCs w:val="20"/>
    </w:rPr>
  </w:style>
  <w:style w:type="paragraph" w:styleId="Annotationsubject">
    <w:name w:val="annotation subject"/>
    <w:basedOn w:val="Annotationtext"/>
    <w:next w:val="Annotationtext"/>
    <w:link w:val="AssuntodocomentrioChar"/>
    <w:qFormat/>
    <w:pPr/>
    <w:rPr>
      <w:b/>
      <w:bCs/>
    </w:rPr>
  </w:style>
  <w:style w:type="paragraph" w:styleId="BalloonText">
    <w:name w:val="Balloon Text"/>
    <w:basedOn w:val="Normal"/>
    <w:link w:val="TextodebaloChar"/>
    <w:qFormat/>
    <w:pPr/>
    <w:rPr>
      <w:rFonts w:ascii="Segoe UI" w:hAnsi="Segoe UI" w:cs="Segoe UI"/>
      <w:sz w:val="18"/>
      <w:szCs w:val="18"/>
    </w:rPr>
  </w:style>
  <w:style w:type="paragraph" w:styleId="Revision">
    <w:name w:val="Revision"/>
    <w:qFormat/>
    <w:pPr>
      <w:widowControl/>
      <w:suppressAutoHyphens w:val="true"/>
      <w:overflowPunct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name w:val="Nivel 2"/>
    <w:basedOn w:val="Normal"/>
    <w:link w:val="Nivel2Char"/>
    <w:qFormat/>
    <w:pPr>
      <w:numPr>
        <w:ilvl w:val="0"/>
        <w:numId w:val="2"/>
      </w:numPr>
      <w:spacing w:lineRule="auto" w:line="276" w:before="120" w:after="120"/>
      <w:ind w:left="0" w:right="0" w:hanging="0"/>
      <w:jc w:val="both"/>
    </w:pPr>
    <w:rPr>
      <w:rFonts w:ascii="Arial" w:hAnsi="Arial" w:cs="Arial"/>
      <w:sz w:val="20"/>
      <w:szCs w:val="20"/>
    </w:rPr>
  </w:style>
  <w:style w:type="paragraph" w:styleId="Nvel2Red">
    <w:name w:val="Nível 2 -Red"/>
    <w:basedOn w:val="Nivel2"/>
    <w:qFormat/>
    <w:pPr/>
    <w:rPr>
      <w:i/>
      <w:iCs/>
      <w:color w:val="FF0000"/>
    </w:rPr>
  </w:style>
  <w:style w:type="paragraph" w:styleId="Ou">
    <w:name w:val="ou"/>
    <w:basedOn w:val="ListParagraph"/>
    <w:qFormat/>
    <w:pPr>
      <w:spacing w:lineRule="auto" w:line="259" w:before="60" w:after="60"/>
      <w:ind w:left="0" w:right="0" w:hanging="0"/>
      <w:contextualSpacing w:val="false"/>
      <w:jc w:val="center"/>
    </w:pPr>
    <w:rPr>
      <w:rFonts w:ascii="Arial" w:hAnsi="Arial" w:eastAsia="Calibri" w:cs="Arial"/>
      <w:b/>
      <w:bCs/>
      <w:i/>
      <w:iCs/>
      <w:color w:val="FF0000"/>
      <w:sz w:val="20"/>
      <w:u w:val="single"/>
    </w:rPr>
  </w:style>
  <w:style w:type="paragraph" w:styleId="Nvel3R">
    <w:name w:val="Nível 3-R"/>
    <w:basedOn w:val="Normal"/>
    <w:qFormat/>
    <w:pPr>
      <w:numPr>
        <w:ilvl w:val="0"/>
        <w:numId w:val="2"/>
      </w:numPr>
      <w:spacing w:lineRule="auto" w:line="276" w:before="120" w:after="120"/>
      <w:ind w:left="284" w:right="0" w:hanging="0"/>
      <w:jc w:val="both"/>
    </w:pPr>
    <w:rPr>
      <w:rFonts w:ascii="Arial" w:hAnsi="Arial" w:eastAsia="Times New Roman" w:cs="Arial"/>
      <w:i/>
      <w:iCs/>
      <w:color w:val="FF0000"/>
      <w:sz w:val="20"/>
      <w:szCs w:val="20"/>
    </w:rPr>
  </w:style>
  <w:style w:type="paragraph" w:styleId="Nvel3">
    <w:name w:val="Nível 3"/>
    <w:basedOn w:val="Nvel3R"/>
    <w:link w:val="Nvel3Char"/>
    <w:qFormat/>
    <w:pPr/>
    <w:rPr>
      <w:rFonts w:eastAsia="Times New Roman"/>
      <w:i w:val="false"/>
      <w:iCs w:val="false"/>
      <w:color w:val="auto"/>
    </w:rPr>
  </w:style>
  <w:style w:type="paragraph" w:styleId="Nvel4">
    <w:name w:val="Nível 4"/>
    <w:basedOn w:val="Nvel3"/>
    <w:link w:val="Nvel4Char"/>
    <w:qFormat/>
    <w:pPr>
      <w:ind w:left="567" w:right="0" w:hanging="0"/>
    </w:pPr>
    <w:rPr/>
  </w:style>
  <w:style w:type="paragraph" w:styleId="SubTitNN">
    <w:name w:val="SubTitNN"/>
    <w:basedOn w:val="Normal"/>
    <w:link w:val="SubTitNNChar"/>
    <w:qFormat/>
    <w:pPr>
      <w:spacing w:lineRule="auto" w:line="276" w:before="240" w:after="120"/>
      <w:jc w:val="both"/>
    </w:pPr>
    <w:rPr>
      <w:rFonts w:ascii="Arial" w:hAnsi="Arial" w:cs="Arial"/>
      <w:b/>
      <w:bCs/>
      <w:iCs/>
      <w:sz w:val="20"/>
      <w:szCs w:val="20"/>
    </w:rPr>
  </w:style>
  <w:style w:type="paragraph" w:styleId="Corpodetexto23">
    <w:name w:val="Corpo de texto 23"/>
    <w:basedOn w:val="Normal"/>
    <w:qFormat/>
    <w:pPr>
      <w:jc w:val="both"/>
    </w:pPr>
    <w:rPr>
      <w:rFonts w:ascii="Arial" w:hAnsi="Arial" w:cs="Arial"/>
      <w:sz w:val="22"/>
      <w:szCs w:val="22"/>
    </w:rPr>
  </w:style>
  <w:style w:type="paragraph" w:styleId="LONormal1">
    <w:name w:val="LO-Normal1"/>
    <w:qFormat/>
    <w:pPr>
      <w:widowControl w:val="false"/>
      <w:suppressAutoHyphens w:val="true"/>
      <w:overflowPunct w:val="true"/>
      <w:bidi w:val="0"/>
      <w:spacing w:before="0" w:after="0"/>
      <w:jc w:val="left"/>
    </w:pPr>
    <w:rPr>
      <w:rFonts w:ascii="Liberation Serif;Times New Roman" w:hAnsi="Liberation Serif;Times New Roman" w:eastAsia="SimSun;宋体" w:cs="Arial"/>
      <w:color w:val="auto"/>
      <w:kern w:val="2"/>
      <w:sz w:val="24"/>
      <w:szCs w:val="24"/>
      <w:lang w:val="pt-BR" w:eastAsia="zh-CN" w:bidi="hi-IN"/>
    </w:rPr>
  </w:style>
  <w:style w:type="paragraph" w:styleId="Default">
    <w:name w:val="Default"/>
    <w:basedOn w:val="LONormal1"/>
    <w:qFormat/>
    <w:pPr>
      <w:suppressAutoHyphens w:val="true"/>
    </w:pPr>
    <w:rPr>
      <w:color w:val="000000"/>
      <w:lang w:bidi="hi-IN"/>
    </w:rPr>
  </w:style>
  <w:style w:type="paragraph" w:styleId="Contedodatabela">
    <w:name w:val="Conteúdo da tabela"/>
    <w:basedOn w:val="Normal"/>
    <w:qFormat/>
    <w:pPr>
      <w:suppressLineNumbers/>
      <w:suppressAutoHyphens w:val="true"/>
      <w:overflowPunct w:val="false"/>
      <w:textAlignment w:val="auto"/>
    </w:pPr>
    <w:rPr/>
  </w:style>
  <w:style w:type="paragraph" w:styleId="Ttulodetabela">
    <w:name w:val="Título de tabela"/>
    <w:basedOn w:val="Contedodatabela"/>
    <w:qFormat/>
    <w:pPr>
      <w:suppressLineNumbers/>
      <w:jc w:val="center"/>
    </w:pPr>
    <w:rPr>
      <w:b/>
      <w:bCs/>
    </w:rPr>
  </w:style>
  <w:style w:type="paragraph" w:styleId="Contedodoquadro">
    <w:name w:val="Conteúdo do quadro"/>
    <w:basedOn w:val="Normal"/>
    <w:qFormat/>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wmf"/><Relationship Id="rId3" Type="http://schemas.openxmlformats.org/officeDocument/2006/relationships/hyperlink" Target="mailto:conaraquissama@gmail.com" TargetMode="External"/><Relationship Id="rId4" Type="http://schemas.openxmlformats.org/officeDocument/2006/relationships/hyperlink" Target="mailto:complexoreguladorquissama@gmail.com" TargetMode="External"/><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
</Relationships>
</file>

<file path=word/_rels/header1.xml.rels><?xml version="1.0" encoding="UTF-8"?>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3.png"/>
</Relationships>
</file>

<file path=docProps/app.xml><?xml version="1.0" encoding="utf-8"?>
<Properties xmlns="http://schemas.openxmlformats.org/officeDocument/2006/extended-properties" xmlns:vt="http://schemas.openxmlformats.org/officeDocument/2006/docPropsVTypes">
  <Template>Normal.dotm</Template>
  <TotalTime>1672</TotalTime>
  <Application>LibreOffice/7.4.2.3$Windows_X86_64 LibreOffice_project/382eef1f22670f7f4118c8c2dd222ec7ad009daf</Application>
  <AppVersion>15.0000</AppVersion>
  <Pages>26</Pages>
  <Words>6695</Words>
  <Characters>39403</Characters>
  <CharactersWithSpaces>45829</CharactersWithSpaces>
  <Paragraphs>306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cp:lastPrinted>2026-06-09T16:28:11Z</cp:lastPrinted>
  <dcterms:modified xsi:type="dcterms:W3CDTF">2026-06-09T16:33:01Z</dcterms:modified>
  <cp:revision>133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